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337520E" w14:textId="77777777" w:rsidR="00FD4CC6" w:rsidRPr="00FD4CC6" w:rsidRDefault="00FD4CC6" w:rsidP="00FD4CC6">
      <w:pPr>
        <w:autoSpaceDE w:val="0"/>
        <w:autoSpaceDN w:val="0"/>
        <w:adjustRightInd w:val="0"/>
        <w:ind w:firstLine="567"/>
        <w:jc w:val="center"/>
        <w:rPr>
          <w:rFonts w:ascii="Times New Roman" w:hAnsi="Times New Roman"/>
          <w:b/>
          <w:sz w:val="24"/>
          <w:szCs w:val="24"/>
        </w:rPr>
      </w:pPr>
      <w:bookmarkStart w:id="0" w:name="_Toc123819463"/>
      <w:r w:rsidRPr="00FD4CC6">
        <w:rPr>
          <w:rFonts w:ascii="Times New Roman" w:hAnsi="Times New Roman"/>
          <w:b/>
          <w:sz w:val="24"/>
          <w:szCs w:val="24"/>
        </w:rPr>
        <w:t>ПРИЛОЖИМ РЕЖИМ НА ДЪРЖАВНИ ПОМОЩИ</w:t>
      </w:r>
      <w:bookmarkEnd w:id="0"/>
    </w:p>
    <w:p w14:paraId="4C53A03A" w14:textId="03D9C2C2" w:rsidR="00E152BF" w:rsidRPr="00C871EF" w:rsidRDefault="001C7B3B" w:rsidP="00E152BF">
      <w:pPr>
        <w:pBdr>
          <w:top w:val="single" w:sz="4" w:space="1" w:color="auto"/>
          <w:left w:val="single" w:sz="4" w:space="31" w:color="auto"/>
          <w:bottom w:val="single" w:sz="4" w:space="1" w:color="auto"/>
          <w:right w:val="single" w:sz="4" w:space="9" w:color="auto"/>
        </w:pBdr>
        <w:shd w:val="clear" w:color="auto" w:fill="BDD6EE"/>
        <w:tabs>
          <w:tab w:val="left" w:pos="567"/>
        </w:tabs>
        <w:spacing w:before="240" w:after="360" w:line="240" w:lineRule="auto"/>
        <w:ind w:right="142"/>
        <w:jc w:val="center"/>
        <w:outlineLvl w:val="0"/>
        <w:rPr>
          <w:rFonts w:ascii="Times New Roman" w:hAnsi="Times New Roman"/>
          <w:b/>
          <w:sz w:val="24"/>
          <w:szCs w:val="24"/>
        </w:rPr>
      </w:pPr>
      <w:bookmarkStart w:id="1" w:name="_Toc142648418"/>
      <w:r w:rsidRPr="00C871EF">
        <w:rPr>
          <w:rFonts w:ascii="Times New Roman" w:hAnsi="Times New Roman"/>
          <w:b/>
          <w:sz w:val="24"/>
          <w:szCs w:val="24"/>
        </w:rPr>
        <w:t>Про</w:t>
      </w:r>
      <w:r>
        <w:rPr>
          <w:rFonts w:ascii="Times New Roman" w:hAnsi="Times New Roman"/>
          <w:b/>
          <w:sz w:val="24"/>
          <w:szCs w:val="24"/>
        </w:rPr>
        <w:t>цедура</w:t>
      </w:r>
      <w:r w:rsidR="006B558C">
        <w:rPr>
          <w:rFonts w:ascii="Times New Roman" w:hAnsi="Times New Roman"/>
          <w:b/>
          <w:sz w:val="24"/>
          <w:szCs w:val="24"/>
          <w:lang w:val="en-US"/>
        </w:rPr>
        <w:t xml:space="preserve"> </w:t>
      </w:r>
      <w:r w:rsidR="006B558C" w:rsidRPr="006B558C">
        <w:rPr>
          <w:rFonts w:ascii="Times New Roman" w:hAnsi="Times New Roman"/>
          <w:b/>
          <w:sz w:val="24"/>
          <w:szCs w:val="24"/>
          <w:lang w:val="en-US"/>
        </w:rPr>
        <w:t xml:space="preserve">BG16FFPR001-3.004 </w:t>
      </w:r>
      <w:r w:rsidR="00E152BF" w:rsidRPr="00C871EF">
        <w:rPr>
          <w:rFonts w:ascii="Times New Roman" w:hAnsi="Times New Roman"/>
          <w:b/>
          <w:sz w:val="24"/>
          <w:szCs w:val="24"/>
        </w:rPr>
        <w:t>„</w:t>
      </w:r>
      <w:r w:rsidR="0006461A" w:rsidRPr="0006461A">
        <w:rPr>
          <w:rFonts w:ascii="Times New Roman" w:hAnsi="Times New Roman"/>
          <w:b/>
          <w:sz w:val="24"/>
          <w:szCs w:val="24"/>
        </w:rPr>
        <w:t>Зарядна инфраструктура за електрически превозни средства по пътища</w:t>
      </w:r>
      <w:r w:rsidR="008126B0">
        <w:rPr>
          <w:rFonts w:ascii="Times New Roman" w:hAnsi="Times New Roman"/>
          <w:b/>
          <w:sz w:val="24"/>
          <w:szCs w:val="24"/>
        </w:rPr>
        <w:t xml:space="preserve"> – втора процедура</w:t>
      </w:r>
      <w:r w:rsidRPr="001C7B3B">
        <w:rPr>
          <w:rFonts w:ascii="Times New Roman" w:hAnsi="Times New Roman"/>
          <w:b/>
          <w:sz w:val="24"/>
          <w:szCs w:val="24"/>
        </w:rPr>
        <w:t>“</w:t>
      </w:r>
      <w:r w:rsidRPr="001C7B3B" w:rsidDel="001C7B3B">
        <w:rPr>
          <w:rFonts w:ascii="Times New Roman" w:hAnsi="Times New Roman"/>
          <w:b/>
          <w:sz w:val="24"/>
          <w:szCs w:val="24"/>
        </w:rPr>
        <w:t xml:space="preserve"> </w:t>
      </w:r>
      <w:bookmarkEnd w:id="1"/>
    </w:p>
    <w:p w14:paraId="3F36B34D" w14:textId="13A1EB93" w:rsidR="0046324D" w:rsidRPr="00B9169F" w:rsidRDefault="0046324D" w:rsidP="0046324D">
      <w:pPr>
        <w:pStyle w:val="ListParagraph"/>
        <w:numPr>
          <w:ilvl w:val="0"/>
          <w:numId w:val="11"/>
        </w:numPr>
        <w:tabs>
          <w:tab w:val="left" w:pos="0"/>
        </w:tabs>
        <w:jc w:val="both"/>
        <w:rPr>
          <w:rFonts w:ascii="Times New Roman" w:hAnsi="Times New Roman"/>
          <w:b/>
          <w:kern w:val="2"/>
          <w:sz w:val="24"/>
          <w:szCs w:val="24"/>
          <w:lang w:val="en-US"/>
          <w14:ligatures w14:val="standardContextual"/>
        </w:rPr>
      </w:pPr>
      <w:r w:rsidRPr="00B9169F">
        <w:rPr>
          <w:rFonts w:ascii="Times New Roman" w:hAnsi="Times New Roman"/>
          <w:b/>
          <w:kern w:val="2"/>
          <w:sz w:val="24"/>
          <w:szCs w:val="24"/>
          <w14:ligatures w14:val="standardContextual"/>
        </w:rPr>
        <w:t xml:space="preserve">Описание на </w:t>
      </w:r>
      <w:r w:rsidR="001C7B3B" w:rsidRPr="00B9169F">
        <w:rPr>
          <w:rFonts w:ascii="Times New Roman" w:hAnsi="Times New Roman"/>
          <w:b/>
          <w:kern w:val="2"/>
          <w:sz w:val="24"/>
          <w:szCs w:val="24"/>
          <w14:ligatures w14:val="standardContextual"/>
        </w:rPr>
        <w:t>процедурата</w:t>
      </w:r>
      <w:r w:rsidRPr="00B9169F">
        <w:rPr>
          <w:rFonts w:ascii="Times New Roman" w:hAnsi="Times New Roman"/>
          <w:b/>
          <w:kern w:val="2"/>
          <w:sz w:val="24"/>
          <w:szCs w:val="24"/>
          <w14:ligatures w14:val="standardContextual"/>
        </w:rPr>
        <w:tab/>
      </w:r>
    </w:p>
    <w:p w14:paraId="30896FD5" w14:textId="77777777" w:rsidR="0046324D" w:rsidRPr="00867509" w:rsidRDefault="0046324D" w:rsidP="0046324D">
      <w:pPr>
        <w:tabs>
          <w:tab w:val="left" w:pos="0"/>
        </w:tabs>
        <w:jc w:val="both"/>
        <w:rPr>
          <w:rFonts w:ascii="Times New Roman" w:hAnsi="Times New Roman"/>
          <w:kern w:val="2"/>
          <w:sz w:val="24"/>
          <w:szCs w:val="24"/>
          <w14:ligatures w14:val="standardContextual"/>
        </w:rPr>
      </w:pPr>
      <w:r>
        <w:rPr>
          <w:rFonts w:cstheme="minorHAnsi"/>
          <w:kern w:val="2"/>
          <w:lang w:val="en-US"/>
          <w14:ligatures w14:val="standardContextual"/>
        </w:rPr>
        <w:tab/>
      </w:r>
      <w:r w:rsidR="00867509" w:rsidRPr="00733933">
        <w:rPr>
          <w:rFonts w:ascii="Times New Roman" w:hAnsi="Times New Roman"/>
          <w:sz w:val="24"/>
          <w:szCs w:val="20"/>
        </w:rPr>
        <w:t xml:space="preserve">Съгласно </w:t>
      </w:r>
      <w:r w:rsidR="00867509" w:rsidRPr="00733933">
        <w:rPr>
          <w:rFonts w:ascii="Times New Roman" w:hAnsi="Times New Roman"/>
          <w:b/>
          <w:sz w:val="24"/>
          <w:szCs w:val="20"/>
        </w:rPr>
        <w:t xml:space="preserve">Регламент (ЕС) </w:t>
      </w:r>
      <w:r w:rsidR="00867509">
        <w:rPr>
          <w:rFonts w:ascii="Times New Roman" w:hAnsi="Times New Roman"/>
          <w:b/>
          <w:sz w:val="24"/>
          <w:szCs w:val="20"/>
        </w:rPr>
        <w:t>1804</w:t>
      </w:r>
      <w:r w:rsidR="00867509" w:rsidRPr="00733933">
        <w:rPr>
          <w:rFonts w:ascii="Times New Roman" w:hAnsi="Times New Roman"/>
          <w:b/>
          <w:sz w:val="24"/>
          <w:szCs w:val="20"/>
        </w:rPr>
        <w:t>/</w:t>
      </w:r>
      <w:r w:rsidR="00867509">
        <w:rPr>
          <w:rFonts w:ascii="Times New Roman" w:hAnsi="Times New Roman"/>
          <w:b/>
          <w:sz w:val="24"/>
          <w:szCs w:val="20"/>
        </w:rPr>
        <w:t>2023</w:t>
      </w:r>
      <w:r w:rsidR="00867509" w:rsidRPr="00733933">
        <w:rPr>
          <w:rFonts w:ascii="Times New Roman" w:hAnsi="Times New Roman"/>
          <w:sz w:val="24"/>
          <w:szCs w:val="20"/>
        </w:rPr>
        <w:t xml:space="preserve"> на Европейския парламент и на Съвета от 13 септември 2023 г. за разгръщането на инфраструктура за алтернативни горива и за отмяна на Директива 2014/94/ЕС</w:t>
      </w:r>
      <w:r w:rsidR="00867509" w:rsidRPr="00733933">
        <w:rPr>
          <w:rFonts w:ascii="Times New Roman" w:hAnsi="Times New Roman"/>
          <w:b/>
          <w:sz w:val="24"/>
          <w:szCs w:val="20"/>
        </w:rPr>
        <w:t xml:space="preserve"> </w:t>
      </w:r>
      <w:r w:rsidR="00867509" w:rsidRPr="00733933">
        <w:rPr>
          <w:rFonts w:ascii="Times New Roman" w:hAnsi="Times New Roman"/>
          <w:sz w:val="24"/>
          <w:szCs w:val="20"/>
        </w:rPr>
        <w:t>е необходимо да се гарантира минимално покритие с публично достъпните зарядни точки, предназначени за лекотоварни и тежкотоварни превозни средства по пътната мрежа на територията на страната по основната и широкообхватната TEN-T мрежа във всяка посока на движение.</w:t>
      </w:r>
    </w:p>
    <w:p w14:paraId="23941692" w14:textId="77777777" w:rsidR="0046324D" w:rsidRPr="00867509" w:rsidRDefault="00867509" w:rsidP="009C799E">
      <w:pPr>
        <w:tabs>
          <w:tab w:val="left" w:pos="0"/>
        </w:tabs>
        <w:jc w:val="both"/>
        <w:rPr>
          <w:rFonts w:ascii="Times New Roman" w:hAnsi="Times New Roman"/>
          <w:kern w:val="2"/>
          <w:sz w:val="24"/>
          <w:szCs w:val="24"/>
          <w14:ligatures w14:val="standardContextual"/>
        </w:rPr>
      </w:pPr>
      <w:r>
        <w:rPr>
          <w:rFonts w:ascii="Times New Roman" w:hAnsi="Times New Roman"/>
          <w:sz w:val="24"/>
          <w:szCs w:val="20"/>
        </w:rPr>
        <w:tab/>
      </w:r>
      <w:r w:rsidRPr="00733933">
        <w:rPr>
          <w:rFonts w:ascii="Times New Roman" w:hAnsi="Times New Roman"/>
          <w:sz w:val="24"/>
          <w:szCs w:val="20"/>
        </w:rPr>
        <w:t>Изграждането на гъста, широкообхватна, надеждна и лесна за използване инфраструктурна мрежа за алтернативни горива за всички видове транспорт е важен елемент за постигане на климатична неутралност и нулево замърсяване в съответствие с евр</w:t>
      </w:r>
      <w:r>
        <w:rPr>
          <w:rFonts w:ascii="Times New Roman" w:hAnsi="Times New Roman"/>
          <w:sz w:val="24"/>
          <w:szCs w:val="20"/>
        </w:rPr>
        <w:t>о</w:t>
      </w:r>
      <w:r w:rsidRPr="00733933">
        <w:rPr>
          <w:rFonts w:ascii="Times New Roman" w:hAnsi="Times New Roman"/>
          <w:sz w:val="24"/>
          <w:szCs w:val="20"/>
        </w:rPr>
        <w:t>пейската зелена сделка и пакета „Подготвени за цел 55“.</w:t>
      </w:r>
      <w:r w:rsidRPr="002513D2">
        <w:rPr>
          <w:rFonts w:ascii="Times New Roman" w:hAnsi="Times New Roman"/>
          <w:sz w:val="24"/>
          <w:szCs w:val="20"/>
        </w:rPr>
        <w:t xml:space="preserve"> </w:t>
      </w:r>
      <w:r>
        <w:rPr>
          <w:rFonts w:ascii="Times New Roman" w:hAnsi="Times New Roman"/>
          <w:sz w:val="24"/>
          <w:szCs w:val="20"/>
        </w:rPr>
        <w:t>Ускоряването на изграждането на зарядна инфраструктура за електрически лекотоварни и тежкотоварни превозни средства ще доближи България към европейските дългосрочни цели за намаляване на емисиите парникови газове и намаляване на замърсяването на въздуха.</w:t>
      </w:r>
    </w:p>
    <w:p w14:paraId="0332B0DD" w14:textId="40ECEBCC" w:rsidR="00867509" w:rsidRPr="00733933" w:rsidRDefault="00867509" w:rsidP="00867509">
      <w:pPr>
        <w:spacing w:before="120" w:after="120"/>
        <w:ind w:firstLine="567"/>
        <w:jc w:val="both"/>
        <w:rPr>
          <w:rFonts w:ascii="Times New Roman" w:hAnsi="Times New Roman"/>
          <w:sz w:val="24"/>
          <w:szCs w:val="20"/>
        </w:rPr>
      </w:pPr>
      <w:r>
        <w:rPr>
          <w:rFonts w:ascii="Times New Roman" w:hAnsi="Times New Roman"/>
          <w:kern w:val="2"/>
          <w:sz w:val="24"/>
          <w:szCs w:val="24"/>
          <w14:ligatures w14:val="standardContextual"/>
        </w:rPr>
        <w:tab/>
      </w:r>
      <w:r w:rsidR="00CA3CE9">
        <w:rPr>
          <w:rFonts w:ascii="Times New Roman" w:hAnsi="Times New Roman"/>
          <w:kern w:val="2"/>
          <w:sz w:val="24"/>
          <w:szCs w:val="24"/>
          <w14:ligatures w14:val="standardContextual"/>
        </w:rPr>
        <w:t xml:space="preserve">Чрез процедура </w:t>
      </w:r>
      <w:r w:rsidR="006B558C" w:rsidRPr="006B558C">
        <w:rPr>
          <w:rFonts w:ascii="Times New Roman" w:hAnsi="Times New Roman"/>
          <w:kern w:val="2"/>
          <w:sz w:val="24"/>
          <w:szCs w:val="24"/>
          <w14:ligatures w14:val="standardContextual"/>
        </w:rPr>
        <w:t xml:space="preserve">BG16FFPR001-3.004 </w:t>
      </w:r>
      <w:r w:rsidR="00CA3CE9">
        <w:rPr>
          <w:rFonts w:ascii="Times New Roman" w:hAnsi="Times New Roman"/>
          <w:kern w:val="2"/>
          <w:sz w:val="24"/>
          <w:szCs w:val="24"/>
          <w14:ligatures w14:val="standardContextual"/>
        </w:rPr>
        <w:t>„</w:t>
      </w:r>
      <w:r w:rsidR="00CA3CE9" w:rsidRPr="00CA3CE9">
        <w:rPr>
          <w:rFonts w:ascii="Times New Roman" w:hAnsi="Times New Roman"/>
          <w:b/>
          <w:kern w:val="2"/>
          <w:sz w:val="24"/>
          <w:szCs w:val="24"/>
          <w14:ligatures w14:val="standardContextual"/>
        </w:rPr>
        <w:t>Зарядна инфраструктура за електрически превозни средства</w:t>
      </w:r>
      <w:r w:rsidR="00275EF0">
        <w:rPr>
          <w:rFonts w:ascii="Times New Roman" w:hAnsi="Times New Roman"/>
          <w:b/>
          <w:kern w:val="2"/>
          <w:sz w:val="24"/>
          <w:szCs w:val="24"/>
          <w:lang w:val="en-US"/>
          <w14:ligatures w14:val="standardContextual"/>
        </w:rPr>
        <w:t xml:space="preserve"> </w:t>
      </w:r>
      <w:r w:rsidR="00275EF0">
        <w:rPr>
          <w:rFonts w:ascii="Times New Roman" w:hAnsi="Times New Roman"/>
          <w:b/>
          <w:kern w:val="2"/>
          <w:sz w:val="24"/>
          <w:szCs w:val="24"/>
          <w14:ligatures w14:val="standardContextual"/>
        </w:rPr>
        <w:t>по пътища</w:t>
      </w:r>
      <w:r w:rsidR="006637E6">
        <w:rPr>
          <w:rFonts w:ascii="Times New Roman" w:hAnsi="Times New Roman"/>
          <w:b/>
          <w:kern w:val="2"/>
          <w:sz w:val="24"/>
          <w:szCs w:val="24"/>
          <w:lang w:val="en-US"/>
          <w14:ligatures w14:val="standardContextual"/>
        </w:rPr>
        <w:t xml:space="preserve"> – вто</w:t>
      </w:r>
      <w:r w:rsidR="006637E6">
        <w:rPr>
          <w:rFonts w:ascii="Times New Roman" w:hAnsi="Times New Roman"/>
          <w:b/>
          <w:kern w:val="2"/>
          <w:sz w:val="24"/>
          <w:szCs w:val="24"/>
          <w14:ligatures w14:val="standardContextual"/>
        </w:rPr>
        <w:t>ра процедура</w:t>
      </w:r>
      <w:r w:rsidR="00CA3CE9">
        <w:rPr>
          <w:rFonts w:ascii="Times New Roman" w:hAnsi="Times New Roman"/>
          <w:kern w:val="2"/>
          <w:sz w:val="24"/>
          <w:szCs w:val="24"/>
          <w14:ligatures w14:val="standardContextual"/>
        </w:rPr>
        <w:t>“ по Приоритет 3 на Програма „Транспортна свързаност“ 2021 -2027 г. ще бъде п</w:t>
      </w:r>
      <w:r>
        <w:rPr>
          <w:rFonts w:ascii="Times New Roman" w:hAnsi="Times New Roman"/>
          <w:sz w:val="24"/>
          <w:szCs w:val="20"/>
        </w:rPr>
        <w:t>редостав</w:t>
      </w:r>
      <w:r w:rsidR="00CA3CE9">
        <w:rPr>
          <w:rFonts w:ascii="Times New Roman" w:hAnsi="Times New Roman"/>
          <w:sz w:val="24"/>
          <w:szCs w:val="20"/>
        </w:rPr>
        <w:t>ена</w:t>
      </w:r>
      <w:r>
        <w:rPr>
          <w:rFonts w:ascii="Times New Roman" w:hAnsi="Times New Roman"/>
          <w:sz w:val="24"/>
          <w:szCs w:val="20"/>
        </w:rPr>
        <w:t xml:space="preserve"> на п</w:t>
      </w:r>
      <w:r w:rsidRPr="00733933">
        <w:rPr>
          <w:rFonts w:ascii="Times New Roman" w:hAnsi="Times New Roman"/>
          <w:sz w:val="24"/>
          <w:szCs w:val="20"/>
        </w:rPr>
        <w:t xml:space="preserve">одкрепа на </w:t>
      </w:r>
      <w:r w:rsidRPr="00CA3CE9">
        <w:rPr>
          <w:rFonts w:ascii="Times New Roman" w:hAnsi="Times New Roman"/>
          <w:sz w:val="24"/>
          <w:szCs w:val="20"/>
        </w:rPr>
        <w:t>юридически лица, както и на сдружения между тях, за</w:t>
      </w:r>
      <w:r w:rsidRPr="00733933">
        <w:rPr>
          <w:rFonts w:ascii="Times New Roman" w:hAnsi="Times New Roman"/>
          <w:sz w:val="24"/>
          <w:szCs w:val="20"/>
        </w:rPr>
        <w:t xml:space="preserve"> изграждането на публично достъпна, надеждна и лесна за използване инфраструктурна мрежа за алтернативни горива.</w:t>
      </w:r>
    </w:p>
    <w:p w14:paraId="4AB7CF3F" w14:textId="77777777" w:rsidR="00867509" w:rsidRDefault="00CA3CE9" w:rsidP="00867509">
      <w:pPr>
        <w:spacing w:before="120" w:after="120"/>
        <w:ind w:firstLine="567"/>
        <w:jc w:val="both"/>
        <w:rPr>
          <w:rFonts w:ascii="Times New Roman" w:hAnsi="Times New Roman"/>
          <w:sz w:val="24"/>
          <w:szCs w:val="20"/>
        </w:rPr>
      </w:pPr>
      <w:r>
        <w:rPr>
          <w:rFonts w:ascii="Times New Roman" w:hAnsi="Times New Roman"/>
          <w:sz w:val="24"/>
          <w:szCs w:val="20"/>
        </w:rPr>
        <w:t>С оглед на факта, че т</w:t>
      </w:r>
      <w:r w:rsidR="00867509" w:rsidRPr="00733933">
        <w:rPr>
          <w:rFonts w:ascii="Times New Roman" w:hAnsi="Times New Roman"/>
          <w:sz w:val="24"/>
          <w:szCs w:val="20"/>
        </w:rPr>
        <w:t>енденциите за развитие на транспортния сектор, очертани в стратегическите документи на европейско и национално ниво, целят повишаване на неговата конкурентоспособност чрез по-ефективно използване на ресурсите на енергията</w:t>
      </w:r>
      <w:r>
        <w:rPr>
          <w:rFonts w:ascii="Times New Roman" w:hAnsi="Times New Roman"/>
          <w:sz w:val="24"/>
          <w:szCs w:val="20"/>
        </w:rPr>
        <w:t>, един</w:t>
      </w:r>
      <w:r w:rsidR="00867509" w:rsidRPr="00733933">
        <w:rPr>
          <w:rFonts w:ascii="Times New Roman" w:hAnsi="Times New Roman"/>
          <w:sz w:val="24"/>
          <w:szCs w:val="20"/>
        </w:rPr>
        <w:t xml:space="preserve"> от ключовите приоритети на националната и европейските политики в областта на транспорта, енергетиката и климата е по-широкото производство, разгръщането и използването на устойчиви алтернативни горива. </w:t>
      </w:r>
    </w:p>
    <w:p w14:paraId="0896903D" w14:textId="77777777" w:rsidR="00824F1A" w:rsidRPr="00733933" w:rsidRDefault="00824F1A" w:rsidP="00824F1A">
      <w:pPr>
        <w:spacing w:before="120" w:after="120"/>
        <w:ind w:firstLine="567"/>
        <w:jc w:val="both"/>
        <w:rPr>
          <w:rFonts w:ascii="Times New Roman" w:hAnsi="Times New Roman"/>
          <w:sz w:val="24"/>
          <w:szCs w:val="20"/>
        </w:rPr>
      </w:pPr>
      <w:r w:rsidRPr="00733933">
        <w:rPr>
          <w:rFonts w:ascii="Times New Roman" w:hAnsi="Times New Roman"/>
          <w:sz w:val="24"/>
          <w:szCs w:val="20"/>
        </w:rPr>
        <w:t xml:space="preserve">Реализацията на проектите ще допринесе за насърчаване на енергийната ефективност посредством използването на алтернативни горива, за намаляване на емисиите на парниковите газове, опазването на околната среда и климата и намаляване на отрицателните вторични ефекти от транспорта. </w:t>
      </w:r>
    </w:p>
    <w:p w14:paraId="1328314E" w14:textId="77777777" w:rsidR="00824F1A" w:rsidRPr="00824F1A" w:rsidRDefault="00824F1A" w:rsidP="00824F1A">
      <w:pPr>
        <w:spacing w:before="120" w:after="120"/>
        <w:ind w:firstLine="567"/>
        <w:jc w:val="both"/>
        <w:rPr>
          <w:rFonts w:ascii="Times New Roman" w:hAnsi="Times New Roman"/>
          <w:i/>
          <w:sz w:val="24"/>
          <w:szCs w:val="20"/>
        </w:rPr>
      </w:pPr>
      <w:r w:rsidRPr="00824F1A">
        <w:rPr>
          <w:rFonts w:ascii="Times New Roman" w:hAnsi="Times New Roman"/>
          <w:sz w:val="24"/>
          <w:szCs w:val="20"/>
        </w:rPr>
        <w:t xml:space="preserve">Изпълнението на ПТС ще има конкретен принос по политиката за изменение на климата основно чрез създаването на необходимите предпоставки за употребата на алтернативни горива в транспорта. </w:t>
      </w:r>
    </w:p>
    <w:p w14:paraId="07F83935" w14:textId="77777777" w:rsidR="003D06EE" w:rsidRPr="003D06EE" w:rsidRDefault="00824F1A" w:rsidP="003D06EE">
      <w:pPr>
        <w:pStyle w:val="Default"/>
        <w:ind w:firstLine="567"/>
        <w:jc w:val="both"/>
        <w:rPr>
          <w:szCs w:val="20"/>
        </w:rPr>
      </w:pPr>
      <w:r w:rsidRPr="00824F1A">
        <w:rPr>
          <w:szCs w:val="20"/>
        </w:rPr>
        <w:t>Предвидените инвестиции допринасят за постигане на устойчиво развита транспортна система и създават необходимите предпоставки за подобряване на мобилността на хора и стоки, което ще насърчи развитието на вътрешния пазар и конкурентоспособността на Общността, териториалното</w:t>
      </w:r>
      <w:r w:rsidRPr="00733933">
        <w:rPr>
          <w:szCs w:val="20"/>
        </w:rPr>
        <w:t xml:space="preserve">, икономическо и социално сближаване и опазването на околната среда. </w:t>
      </w:r>
      <w:r w:rsidR="003D06EE" w:rsidRPr="003D06EE">
        <w:rPr>
          <w:szCs w:val="20"/>
        </w:rPr>
        <w:t xml:space="preserve">Именно изграждането на публично достъпна </w:t>
      </w:r>
      <w:r w:rsidR="003D06EE" w:rsidRPr="003D06EE">
        <w:rPr>
          <w:szCs w:val="20"/>
        </w:rPr>
        <w:lastRenderedPageBreak/>
        <w:t>зарядна инфраструктура ще даде равна възможност за зареждане на всички превозни средства на територията на страната.</w:t>
      </w:r>
      <w:bookmarkStart w:id="2" w:name="_GoBack"/>
      <w:bookmarkEnd w:id="2"/>
    </w:p>
    <w:p w14:paraId="58B75EC0" w14:textId="45D72A36" w:rsidR="00685782" w:rsidRPr="00685782" w:rsidRDefault="00685782" w:rsidP="00685782">
      <w:pPr>
        <w:pStyle w:val="ListParagraph"/>
        <w:numPr>
          <w:ilvl w:val="0"/>
          <w:numId w:val="11"/>
        </w:numPr>
        <w:spacing w:before="120" w:after="120"/>
        <w:jc w:val="both"/>
        <w:rPr>
          <w:rFonts w:ascii="Times New Roman" w:hAnsi="Times New Roman"/>
          <w:b/>
          <w:sz w:val="24"/>
          <w:szCs w:val="20"/>
        </w:rPr>
      </w:pPr>
      <w:r w:rsidRPr="00685782">
        <w:rPr>
          <w:rFonts w:ascii="Times New Roman" w:hAnsi="Times New Roman"/>
          <w:b/>
          <w:sz w:val="24"/>
          <w:szCs w:val="20"/>
        </w:rPr>
        <w:t xml:space="preserve">Бюджет на </w:t>
      </w:r>
      <w:r w:rsidR="001C7B3B">
        <w:rPr>
          <w:rFonts w:ascii="Times New Roman" w:hAnsi="Times New Roman"/>
          <w:b/>
          <w:sz w:val="24"/>
          <w:szCs w:val="20"/>
        </w:rPr>
        <w:t>процедурата</w:t>
      </w:r>
      <w:r w:rsidR="001C7B3B" w:rsidRPr="00685782">
        <w:rPr>
          <w:rFonts w:ascii="Times New Roman" w:hAnsi="Times New Roman"/>
          <w:b/>
          <w:sz w:val="24"/>
          <w:szCs w:val="20"/>
        </w:rPr>
        <w:t xml:space="preserve"> </w:t>
      </w:r>
      <w:r w:rsidRPr="00685782">
        <w:rPr>
          <w:rFonts w:ascii="Times New Roman" w:hAnsi="Times New Roman"/>
          <w:b/>
          <w:sz w:val="24"/>
          <w:szCs w:val="20"/>
        </w:rPr>
        <w:t>и източници на финансиране</w:t>
      </w:r>
    </w:p>
    <w:p w14:paraId="3EE87AEC" w14:textId="797689A7" w:rsidR="00A253C8" w:rsidRPr="00A80EBE" w:rsidRDefault="00D200A8" w:rsidP="00A253C8">
      <w:pPr>
        <w:spacing w:before="120" w:after="0" w:line="240" w:lineRule="auto"/>
        <w:ind w:firstLine="360"/>
        <w:jc w:val="both"/>
        <w:rPr>
          <w:rFonts w:ascii="Times New Roman" w:hAnsi="Times New Roman"/>
          <w:iCs/>
          <w:sz w:val="24"/>
          <w:szCs w:val="24"/>
        </w:rPr>
      </w:pPr>
      <w:r>
        <w:rPr>
          <w:rFonts w:ascii="Times New Roman" w:hAnsi="Times New Roman"/>
          <w:sz w:val="24"/>
          <w:szCs w:val="20"/>
        </w:rPr>
        <w:t>С</w:t>
      </w:r>
      <w:r w:rsidRPr="007B666B">
        <w:rPr>
          <w:rFonts w:ascii="Times New Roman" w:hAnsi="Times New Roman"/>
          <w:sz w:val="24"/>
          <w:szCs w:val="20"/>
        </w:rPr>
        <w:t>тойност</w:t>
      </w:r>
      <w:r>
        <w:rPr>
          <w:rFonts w:ascii="Times New Roman" w:hAnsi="Times New Roman"/>
          <w:sz w:val="24"/>
          <w:szCs w:val="20"/>
        </w:rPr>
        <w:t>та</w:t>
      </w:r>
      <w:r w:rsidRPr="007B666B">
        <w:rPr>
          <w:rFonts w:ascii="Times New Roman" w:hAnsi="Times New Roman"/>
          <w:sz w:val="24"/>
          <w:szCs w:val="20"/>
        </w:rPr>
        <w:t xml:space="preserve"> </w:t>
      </w:r>
      <w:r w:rsidR="007B666B" w:rsidRPr="007B666B">
        <w:rPr>
          <w:rFonts w:ascii="Times New Roman" w:hAnsi="Times New Roman"/>
          <w:sz w:val="24"/>
          <w:szCs w:val="20"/>
        </w:rPr>
        <w:t xml:space="preserve">на </w:t>
      </w:r>
      <w:r w:rsidR="007B666B">
        <w:rPr>
          <w:rFonts w:ascii="Times New Roman" w:hAnsi="Times New Roman"/>
          <w:sz w:val="24"/>
          <w:szCs w:val="20"/>
        </w:rPr>
        <w:t>БФП, която е предвидена по процедура</w:t>
      </w:r>
      <w:r w:rsidR="007B666B" w:rsidRPr="007B666B">
        <w:rPr>
          <w:rFonts w:ascii="Times New Roman" w:hAnsi="Times New Roman"/>
          <w:sz w:val="24"/>
          <w:szCs w:val="20"/>
        </w:rPr>
        <w:t xml:space="preserve"> „</w:t>
      </w:r>
      <w:r w:rsidR="007B666B">
        <w:rPr>
          <w:rFonts w:ascii="Times New Roman" w:hAnsi="Times New Roman"/>
          <w:sz w:val="24"/>
          <w:szCs w:val="20"/>
        </w:rPr>
        <w:t>Зарядна инфраструктура за електрически превозни средства</w:t>
      </w:r>
      <w:r w:rsidR="00275EF0">
        <w:rPr>
          <w:rFonts w:ascii="Times New Roman" w:hAnsi="Times New Roman"/>
          <w:sz w:val="24"/>
          <w:szCs w:val="20"/>
        </w:rPr>
        <w:t xml:space="preserve"> по пътища</w:t>
      </w:r>
      <w:r w:rsidR="006637E6">
        <w:rPr>
          <w:rFonts w:ascii="Times New Roman" w:hAnsi="Times New Roman"/>
          <w:sz w:val="24"/>
          <w:szCs w:val="20"/>
        </w:rPr>
        <w:t xml:space="preserve"> – втора процедура</w:t>
      </w:r>
      <w:r w:rsidR="007B666B" w:rsidRPr="007B666B">
        <w:rPr>
          <w:rFonts w:ascii="Times New Roman" w:hAnsi="Times New Roman"/>
          <w:sz w:val="24"/>
          <w:szCs w:val="20"/>
        </w:rPr>
        <w:t xml:space="preserve">“ е </w:t>
      </w:r>
      <w:r w:rsidR="00F9659B" w:rsidRPr="00F9659B">
        <w:rPr>
          <w:rFonts w:ascii="Times New Roman" w:hAnsi="Times New Roman"/>
          <w:sz w:val="24"/>
          <w:szCs w:val="20"/>
        </w:rPr>
        <w:t xml:space="preserve">10 012 303,45 </w:t>
      </w:r>
      <w:r w:rsidR="00051A71" w:rsidRPr="00051A71">
        <w:rPr>
          <w:rFonts w:ascii="Times New Roman" w:hAnsi="Times New Roman"/>
          <w:sz w:val="24"/>
          <w:szCs w:val="20"/>
        </w:rPr>
        <w:t>евро</w:t>
      </w:r>
      <w:r w:rsidR="007B666B" w:rsidRPr="007B666B">
        <w:rPr>
          <w:rFonts w:ascii="Times New Roman" w:hAnsi="Times New Roman"/>
          <w:sz w:val="24"/>
          <w:szCs w:val="20"/>
        </w:rPr>
        <w:t>, като се очаква финансиране от Приоритет 3 „Подобряване на интермодалността, иновации, модернизирани системи за управление на трафика, подобряване на сигурността и безопасността на транспорта“, Програма „Транспортна свързаност“ 2021-2027.</w:t>
      </w:r>
      <w:r w:rsidR="00A253C8">
        <w:rPr>
          <w:rFonts w:ascii="Times New Roman" w:hAnsi="Times New Roman"/>
          <w:sz w:val="24"/>
          <w:szCs w:val="20"/>
        </w:rPr>
        <w:t xml:space="preserve"> </w:t>
      </w:r>
      <w:r w:rsidR="00A253C8" w:rsidRPr="00A80EBE">
        <w:rPr>
          <w:rFonts w:ascii="Times New Roman" w:hAnsi="Times New Roman"/>
          <w:iCs/>
          <w:sz w:val="24"/>
          <w:szCs w:val="24"/>
        </w:rPr>
        <w:t xml:space="preserve">Максималният размер на безвъзмездна финансова помощ по всеки индивидуален проект, по процедурата </w:t>
      </w:r>
      <w:r w:rsidR="00A253C8" w:rsidRPr="00A80EBE">
        <w:rPr>
          <w:rFonts w:ascii="Times New Roman" w:hAnsi="Times New Roman"/>
          <w:b/>
          <w:iCs/>
          <w:sz w:val="24"/>
          <w:szCs w:val="24"/>
        </w:rPr>
        <w:t xml:space="preserve">не може да надвишава </w:t>
      </w:r>
      <w:r w:rsidR="00A253C8">
        <w:rPr>
          <w:rFonts w:ascii="Times New Roman" w:hAnsi="Times New Roman"/>
          <w:b/>
          <w:iCs/>
          <w:sz w:val="24"/>
          <w:szCs w:val="24"/>
          <w:lang w:val="en-US"/>
        </w:rPr>
        <w:t>256 000,00 евро</w:t>
      </w:r>
      <w:r w:rsidR="00A253C8" w:rsidRPr="00A80EBE">
        <w:rPr>
          <w:rFonts w:ascii="Times New Roman" w:hAnsi="Times New Roman"/>
          <w:b/>
          <w:iCs/>
          <w:sz w:val="24"/>
          <w:szCs w:val="24"/>
        </w:rPr>
        <w:t>.</w:t>
      </w:r>
      <w:r w:rsidR="00A253C8" w:rsidRPr="00A80EBE">
        <w:rPr>
          <w:rFonts w:ascii="Times New Roman" w:hAnsi="Times New Roman"/>
          <w:iCs/>
          <w:sz w:val="24"/>
          <w:szCs w:val="24"/>
        </w:rPr>
        <w:t xml:space="preserve"> </w:t>
      </w:r>
    </w:p>
    <w:p w14:paraId="50FBC65F" w14:textId="32F367F9" w:rsidR="007B666B" w:rsidRDefault="007B666B" w:rsidP="000F5A71">
      <w:pPr>
        <w:spacing w:before="120" w:afterLines="60" w:after="144" w:line="320" w:lineRule="exact"/>
        <w:ind w:firstLine="567"/>
        <w:contextualSpacing/>
        <w:jc w:val="both"/>
        <w:rPr>
          <w:rFonts w:ascii="Times New Roman" w:hAnsi="Times New Roman"/>
          <w:sz w:val="24"/>
          <w:szCs w:val="20"/>
        </w:rPr>
      </w:pPr>
    </w:p>
    <w:p w14:paraId="65F611D6" w14:textId="77777777" w:rsidR="00C93C64" w:rsidRDefault="00AE2376" w:rsidP="000F5A71">
      <w:pPr>
        <w:spacing w:before="120" w:afterLines="60" w:after="144" w:line="320" w:lineRule="exact"/>
        <w:ind w:firstLine="567"/>
        <w:contextualSpacing/>
        <w:jc w:val="both"/>
        <w:rPr>
          <w:rFonts w:ascii="Times New Roman" w:hAnsi="Times New Roman"/>
          <w:sz w:val="24"/>
          <w:szCs w:val="20"/>
        </w:rPr>
      </w:pPr>
      <w:r>
        <w:rPr>
          <w:rFonts w:ascii="Times New Roman" w:hAnsi="Times New Roman"/>
          <w:sz w:val="24"/>
          <w:szCs w:val="20"/>
        </w:rPr>
        <w:t xml:space="preserve">Интензитет на помощта за всяко проектно предложение ще бъде определен съгласно Регламент (ЕС) 651/2014 на Комисията, съгласно който </w:t>
      </w:r>
      <w:r w:rsidRPr="00AE2376">
        <w:rPr>
          <w:rFonts w:ascii="Times New Roman" w:hAnsi="Times New Roman"/>
          <w:sz w:val="24"/>
          <w:szCs w:val="20"/>
        </w:rPr>
        <w:t xml:space="preserve">конкретни категории държавна помощ за съвместими с Договора, при условие че изпълняват определени условия, и освобождава тези категории от изискването за предварително уведомяване на </w:t>
      </w:r>
      <w:r w:rsidR="001A5608">
        <w:rPr>
          <w:rFonts w:ascii="Times New Roman" w:hAnsi="Times New Roman"/>
          <w:sz w:val="24"/>
          <w:szCs w:val="20"/>
        </w:rPr>
        <w:t xml:space="preserve">Комисията и за одобрение от нея и по специално ще бъдат приложени специалните условия на член 36а, отнасящ се до </w:t>
      </w:r>
      <w:r w:rsidR="001A5608" w:rsidRPr="001A5608">
        <w:rPr>
          <w:rFonts w:ascii="Times New Roman" w:hAnsi="Times New Roman"/>
          <w:sz w:val="24"/>
          <w:szCs w:val="20"/>
        </w:rPr>
        <w:t>„Инвестиционни помощи за инфраструктури за зареждане с електроенергия или гориво“</w:t>
      </w:r>
      <w:r w:rsidR="001A5608">
        <w:rPr>
          <w:rFonts w:ascii="Times New Roman" w:hAnsi="Times New Roman"/>
          <w:sz w:val="24"/>
          <w:szCs w:val="20"/>
        </w:rPr>
        <w:t>.</w:t>
      </w:r>
    </w:p>
    <w:p w14:paraId="2C172B17" w14:textId="36AB69A7" w:rsidR="000F5A71" w:rsidRDefault="00B808F1" w:rsidP="000F5A71">
      <w:pPr>
        <w:spacing w:before="120" w:afterLines="60" w:after="144" w:line="320" w:lineRule="exact"/>
        <w:ind w:firstLine="567"/>
        <w:contextualSpacing/>
        <w:jc w:val="both"/>
        <w:rPr>
          <w:rFonts w:ascii="Times New Roman" w:hAnsi="Times New Roman"/>
          <w:sz w:val="24"/>
          <w:szCs w:val="20"/>
        </w:rPr>
      </w:pPr>
      <w:r>
        <w:rPr>
          <w:rFonts w:ascii="Times New Roman" w:hAnsi="Times New Roman"/>
          <w:sz w:val="24"/>
          <w:szCs w:val="20"/>
        </w:rPr>
        <w:t>БФП</w:t>
      </w:r>
      <w:r w:rsidRPr="007C4582">
        <w:rPr>
          <w:rFonts w:ascii="Times New Roman" w:hAnsi="Times New Roman"/>
          <w:sz w:val="24"/>
          <w:szCs w:val="20"/>
        </w:rPr>
        <w:t xml:space="preserve"> </w:t>
      </w:r>
      <w:r w:rsidR="00C93C64" w:rsidRPr="007C4582">
        <w:rPr>
          <w:rFonts w:ascii="Times New Roman" w:hAnsi="Times New Roman"/>
          <w:sz w:val="24"/>
          <w:szCs w:val="20"/>
        </w:rPr>
        <w:t xml:space="preserve">по </w:t>
      </w:r>
      <w:r>
        <w:rPr>
          <w:rFonts w:ascii="Times New Roman" w:hAnsi="Times New Roman"/>
          <w:sz w:val="24"/>
          <w:szCs w:val="20"/>
        </w:rPr>
        <w:t xml:space="preserve">всеки конкретен проект </w:t>
      </w:r>
      <w:r w:rsidR="00C93C64" w:rsidRPr="007C4582">
        <w:rPr>
          <w:rFonts w:ascii="Times New Roman" w:hAnsi="Times New Roman"/>
          <w:sz w:val="24"/>
          <w:szCs w:val="20"/>
        </w:rPr>
        <w:t xml:space="preserve">ще бъде предоставена </w:t>
      </w:r>
      <w:r w:rsidRPr="00B808F1">
        <w:rPr>
          <w:rFonts w:ascii="Times New Roman" w:hAnsi="Times New Roman"/>
          <w:sz w:val="24"/>
          <w:szCs w:val="20"/>
        </w:rPr>
        <w:t>въз основа на схема за помощ</w:t>
      </w:r>
      <w:r>
        <w:rPr>
          <w:rFonts w:ascii="Times New Roman" w:hAnsi="Times New Roman"/>
          <w:sz w:val="24"/>
          <w:szCs w:val="20"/>
        </w:rPr>
        <w:t xml:space="preserve">, чрез подбор на проектни предложения </w:t>
      </w:r>
      <w:r w:rsidR="00C93C64" w:rsidRPr="007C4582">
        <w:rPr>
          <w:rFonts w:ascii="Times New Roman" w:hAnsi="Times New Roman"/>
          <w:sz w:val="24"/>
          <w:szCs w:val="20"/>
        </w:rPr>
        <w:t>по ПТС до края на 202</w:t>
      </w:r>
      <w:r w:rsidR="00C93C64">
        <w:rPr>
          <w:rFonts w:ascii="Times New Roman" w:hAnsi="Times New Roman"/>
          <w:sz w:val="24"/>
          <w:szCs w:val="20"/>
        </w:rPr>
        <w:t>9</w:t>
      </w:r>
      <w:r w:rsidR="00C93C64" w:rsidRPr="007C4582">
        <w:rPr>
          <w:rFonts w:ascii="Times New Roman" w:hAnsi="Times New Roman"/>
          <w:sz w:val="24"/>
          <w:szCs w:val="20"/>
        </w:rPr>
        <w:t xml:space="preserve"> г., в съответствие с чл. </w:t>
      </w:r>
      <w:r>
        <w:rPr>
          <w:rFonts w:ascii="Times New Roman" w:hAnsi="Times New Roman"/>
          <w:sz w:val="24"/>
          <w:szCs w:val="20"/>
        </w:rPr>
        <w:t>29</w:t>
      </w:r>
      <w:r w:rsidRPr="007C4582">
        <w:rPr>
          <w:rFonts w:ascii="Times New Roman" w:hAnsi="Times New Roman"/>
          <w:sz w:val="24"/>
          <w:szCs w:val="20"/>
        </w:rPr>
        <w:t xml:space="preserve"> </w:t>
      </w:r>
      <w:r w:rsidR="00C93C64" w:rsidRPr="007C4582">
        <w:rPr>
          <w:rFonts w:ascii="Times New Roman" w:hAnsi="Times New Roman"/>
          <w:sz w:val="24"/>
          <w:szCs w:val="20"/>
        </w:rPr>
        <w:t xml:space="preserve">на ЗУСЕФСУ. </w:t>
      </w:r>
    </w:p>
    <w:p w14:paraId="0FDCDDDC" w14:textId="7398D128" w:rsidR="000F5A71" w:rsidRDefault="00C93C64" w:rsidP="000F5A71">
      <w:pPr>
        <w:spacing w:before="120" w:afterLines="60" w:after="144" w:line="320" w:lineRule="exact"/>
        <w:ind w:firstLine="567"/>
        <w:contextualSpacing/>
        <w:jc w:val="both"/>
        <w:rPr>
          <w:rFonts w:ascii="Times New Roman" w:eastAsia="Calibri" w:hAnsi="Times New Roman"/>
          <w:sz w:val="24"/>
          <w:szCs w:val="24"/>
        </w:rPr>
      </w:pPr>
      <w:r w:rsidRPr="00A64DD3">
        <w:rPr>
          <w:rFonts w:ascii="Times New Roman" w:eastAsia="Calibri" w:hAnsi="Times New Roman"/>
          <w:sz w:val="24"/>
          <w:szCs w:val="24"/>
        </w:rPr>
        <w:t>Дейностите и разходите по процедурата са допустими от датата на обявяване на процедурата до 31.12.2029 г.</w:t>
      </w:r>
      <w:r w:rsidRPr="00A80EBE">
        <w:rPr>
          <w:rFonts w:ascii="Times New Roman" w:eastAsia="Calibri" w:hAnsi="Times New Roman"/>
          <w:sz w:val="24"/>
          <w:szCs w:val="24"/>
        </w:rPr>
        <w:t xml:space="preserve"> </w:t>
      </w:r>
    </w:p>
    <w:p w14:paraId="2B458098" w14:textId="77777777" w:rsidR="007C4582" w:rsidRPr="007B666B" w:rsidRDefault="007C4582" w:rsidP="007B666B">
      <w:pPr>
        <w:spacing w:before="120" w:after="120"/>
        <w:ind w:firstLine="567"/>
        <w:jc w:val="both"/>
        <w:rPr>
          <w:rFonts w:ascii="Times New Roman" w:hAnsi="Times New Roman"/>
          <w:sz w:val="24"/>
          <w:szCs w:val="20"/>
        </w:rPr>
      </w:pPr>
    </w:p>
    <w:p w14:paraId="24631F7C" w14:textId="77777777" w:rsidR="00867509" w:rsidRPr="003053C4" w:rsidRDefault="003053C4" w:rsidP="003053C4">
      <w:pPr>
        <w:pStyle w:val="ListParagraph"/>
        <w:numPr>
          <w:ilvl w:val="0"/>
          <w:numId w:val="11"/>
        </w:numPr>
        <w:tabs>
          <w:tab w:val="left" w:pos="0"/>
        </w:tabs>
        <w:jc w:val="both"/>
        <w:rPr>
          <w:rFonts w:ascii="Times New Roman" w:hAnsi="Times New Roman"/>
          <w:b/>
          <w:kern w:val="2"/>
          <w:sz w:val="24"/>
          <w:szCs w:val="24"/>
          <w14:ligatures w14:val="standardContextual"/>
        </w:rPr>
      </w:pPr>
      <w:r w:rsidRPr="003053C4">
        <w:rPr>
          <w:rFonts w:ascii="Times New Roman" w:hAnsi="Times New Roman"/>
          <w:b/>
          <w:kern w:val="2"/>
          <w:sz w:val="24"/>
          <w:szCs w:val="24"/>
          <w14:ligatures w14:val="standardContextual"/>
        </w:rPr>
        <w:t>Държавна помощ</w:t>
      </w:r>
    </w:p>
    <w:p w14:paraId="09BBB0D7" w14:textId="77777777" w:rsidR="009C799E" w:rsidRDefault="000F5A71" w:rsidP="009C799E">
      <w:pPr>
        <w:tabs>
          <w:tab w:val="left" w:pos="0"/>
        </w:tabs>
        <w:jc w:val="both"/>
        <w:rPr>
          <w:rFonts w:ascii="Times New Roman" w:hAnsi="Times New Roman"/>
          <w:kern w:val="2"/>
          <w:sz w:val="24"/>
          <w:szCs w:val="24"/>
          <w14:ligatures w14:val="standardContextual"/>
        </w:rPr>
      </w:pPr>
      <w:r>
        <w:rPr>
          <w:rFonts w:ascii="Times New Roman" w:hAnsi="Times New Roman"/>
          <w:kern w:val="2"/>
          <w:sz w:val="24"/>
          <w:szCs w:val="24"/>
          <w14:ligatures w14:val="standardContextual"/>
        </w:rPr>
        <w:tab/>
      </w:r>
      <w:r w:rsidR="009C799E" w:rsidRPr="009C799E">
        <w:rPr>
          <w:rFonts w:ascii="Times New Roman" w:hAnsi="Times New Roman"/>
          <w:kern w:val="2"/>
          <w:sz w:val="24"/>
          <w:szCs w:val="24"/>
          <w14:ligatures w14:val="standardContextual"/>
        </w:rPr>
        <w:t xml:space="preserve">Основният акт, който урежда груповото освобождаване на подпомагането на дадени инвестиции или видове инфраструктура от нотификация и ги приема за съвместими за правилата на вътрешния пазар е </w:t>
      </w:r>
      <w:r w:rsidR="009C799E" w:rsidRPr="009C799E">
        <w:rPr>
          <w:rFonts w:ascii="Times New Roman" w:hAnsi="Times New Roman"/>
          <w:b/>
          <w:bCs/>
          <w:kern w:val="2"/>
          <w:sz w:val="24"/>
          <w:szCs w:val="24"/>
          <w14:ligatures w14:val="standardContextual"/>
        </w:rPr>
        <w:t>Р</w:t>
      </w:r>
      <w:r w:rsidR="009C799E">
        <w:rPr>
          <w:rFonts w:ascii="Times New Roman" w:hAnsi="Times New Roman"/>
          <w:b/>
          <w:bCs/>
          <w:kern w:val="2"/>
          <w:sz w:val="24"/>
          <w:szCs w:val="24"/>
          <w14:ligatures w14:val="standardContextual"/>
        </w:rPr>
        <w:t>егламент</w:t>
      </w:r>
      <w:r w:rsidR="009C799E" w:rsidRPr="009C799E">
        <w:rPr>
          <w:rFonts w:ascii="Times New Roman" w:hAnsi="Times New Roman"/>
          <w:b/>
          <w:bCs/>
          <w:kern w:val="2"/>
          <w:sz w:val="24"/>
          <w:szCs w:val="24"/>
          <w14:ligatures w14:val="standardContextual"/>
        </w:rPr>
        <w:t xml:space="preserve"> (ЕС) № 651/2014 </w:t>
      </w:r>
      <w:r w:rsidR="009C799E">
        <w:rPr>
          <w:rFonts w:ascii="Times New Roman" w:hAnsi="Times New Roman"/>
          <w:b/>
          <w:bCs/>
          <w:kern w:val="2"/>
          <w:sz w:val="24"/>
          <w:szCs w:val="24"/>
          <w14:ligatures w14:val="standardContextual"/>
        </w:rPr>
        <w:t>на</w:t>
      </w:r>
      <w:r w:rsidR="009C799E" w:rsidRPr="009C799E">
        <w:rPr>
          <w:rFonts w:ascii="Times New Roman" w:hAnsi="Times New Roman"/>
          <w:b/>
          <w:bCs/>
          <w:kern w:val="2"/>
          <w:sz w:val="24"/>
          <w:szCs w:val="24"/>
          <w14:ligatures w14:val="standardContextual"/>
        </w:rPr>
        <w:t xml:space="preserve"> К</w:t>
      </w:r>
      <w:r w:rsidR="009C799E">
        <w:rPr>
          <w:rFonts w:ascii="Times New Roman" w:hAnsi="Times New Roman"/>
          <w:b/>
          <w:bCs/>
          <w:kern w:val="2"/>
          <w:sz w:val="24"/>
          <w:szCs w:val="24"/>
          <w14:ligatures w14:val="standardContextual"/>
        </w:rPr>
        <w:t xml:space="preserve">омисията, </w:t>
      </w:r>
      <w:r w:rsidR="009C799E">
        <w:rPr>
          <w:rFonts w:ascii="Times New Roman" w:hAnsi="Times New Roman"/>
          <w:bCs/>
          <w:kern w:val="2"/>
          <w:sz w:val="24"/>
          <w:szCs w:val="24"/>
          <w14:ligatures w14:val="standardContextual"/>
        </w:rPr>
        <w:t>последно изменен с Регламент 1315 от 2023 година,</w:t>
      </w:r>
      <w:r w:rsidR="009C799E" w:rsidRPr="009C799E">
        <w:rPr>
          <w:rFonts w:ascii="Times New Roman" w:hAnsi="Times New Roman"/>
          <w:kern w:val="2"/>
          <w:sz w:val="24"/>
          <w:szCs w:val="24"/>
          <w14:ligatures w14:val="standardContextual"/>
        </w:rPr>
        <w:t xml:space="preserve"> за обявяване на някои категории помощи за съвместими с вътрешния пазар в приложение на членове 107 и 108 от Договора (ОРГО). </w:t>
      </w:r>
    </w:p>
    <w:p w14:paraId="007BE4F4" w14:textId="5E570998" w:rsidR="00295C8E" w:rsidRPr="00295C8E" w:rsidRDefault="009C799E" w:rsidP="00295C8E">
      <w:pPr>
        <w:pStyle w:val="Default"/>
        <w:jc w:val="both"/>
      </w:pPr>
      <w:r>
        <w:rPr>
          <w:kern w:val="2"/>
          <w14:ligatures w14:val="standardContextual"/>
        </w:rPr>
        <w:tab/>
      </w:r>
      <w:r w:rsidRPr="009C799E">
        <w:t>ОРГО обявява конкретни категории държавна помощ за съвместими с Договора, при условие че изпълняват определени условия, и освобо</w:t>
      </w:r>
      <w:r w:rsidRPr="00C017EF">
        <w:t xml:space="preserve">ждава тези категории от изискването за предварително уведомяване на Комисията и за одобрение от нея. В рамките на настоящия </w:t>
      </w:r>
      <w:r w:rsidR="001C7B3B" w:rsidRPr="00C017EF">
        <w:t>про</w:t>
      </w:r>
      <w:r w:rsidR="001C7B3B">
        <w:t>цедурата</w:t>
      </w:r>
      <w:r w:rsidR="001C7B3B" w:rsidRPr="00C017EF">
        <w:t xml:space="preserve"> </w:t>
      </w:r>
      <w:r w:rsidRPr="00C017EF">
        <w:t xml:space="preserve">и при съобразяване на предметния обхват се изследва конкретно като възможност за постигане на съответствие с правилата </w:t>
      </w:r>
      <w:r w:rsidR="003053C4">
        <w:t>за</w:t>
      </w:r>
      <w:r w:rsidRPr="00C017EF">
        <w:t xml:space="preserve"> ДП </w:t>
      </w:r>
      <w:r w:rsidR="003053C4">
        <w:t>чрез</w:t>
      </w:r>
      <w:r w:rsidRPr="00C017EF">
        <w:t xml:space="preserve"> прилагането на разпоредбите чл. 36а „Инвестиционни помощи за инфр</w:t>
      </w:r>
      <w:r>
        <w:t>а</w:t>
      </w:r>
      <w:r w:rsidRPr="00C017EF">
        <w:t>структури за зареждане с електроенергия или гориво.</w:t>
      </w:r>
      <w:r w:rsidR="00295C8E">
        <w:t>“</w:t>
      </w:r>
      <w:r w:rsidR="003053C4">
        <w:t xml:space="preserve"> на Регламент 651/2014 г. (</w:t>
      </w:r>
      <w:r w:rsidR="00295C8E">
        <w:t>ОРГО</w:t>
      </w:r>
      <w:r w:rsidR="003053C4">
        <w:t>)</w:t>
      </w:r>
      <w:r w:rsidR="00BC0731">
        <w:t xml:space="preserve">. </w:t>
      </w:r>
    </w:p>
    <w:p w14:paraId="2C0B04A3" w14:textId="6C83CDAE" w:rsidR="00E152BF" w:rsidRDefault="00E152BF" w:rsidP="00E152BF">
      <w:pPr>
        <w:spacing w:before="120" w:after="120"/>
        <w:ind w:firstLine="567"/>
        <w:jc w:val="both"/>
        <w:rPr>
          <w:rFonts w:ascii="Times New Roman" w:hAnsi="Times New Roman"/>
          <w:sz w:val="24"/>
          <w:szCs w:val="20"/>
        </w:rPr>
      </w:pPr>
      <w:r>
        <w:rPr>
          <w:rFonts w:ascii="Times New Roman" w:hAnsi="Times New Roman"/>
          <w:sz w:val="24"/>
          <w:szCs w:val="20"/>
        </w:rPr>
        <w:t xml:space="preserve">Чрез </w:t>
      </w:r>
      <w:r w:rsidR="00696A1F">
        <w:rPr>
          <w:rFonts w:ascii="Times New Roman" w:hAnsi="Times New Roman"/>
          <w:sz w:val="24"/>
          <w:szCs w:val="20"/>
        </w:rPr>
        <w:t>про</w:t>
      </w:r>
      <w:r w:rsidR="004238F3">
        <w:rPr>
          <w:rFonts w:ascii="Times New Roman" w:hAnsi="Times New Roman"/>
          <w:sz w:val="24"/>
          <w:szCs w:val="20"/>
        </w:rPr>
        <w:t xml:space="preserve">цедурата </w:t>
      </w:r>
      <w:r>
        <w:rPr>
          <w:rFonts w:ascii="Times New Roman" w:hAnsi="Times New Roman"/>
          <w:sz w:val="24"/>
          <w:szCs w:val="20"/>
        </w:rPr>
        <w:t xml:space="preserve">ще бъде предоставена подкрепа на </w:t>
      </w:r>
      <w:r w:rsidR="00B9169F" w:rsidRPr="00B9169F">
        <w:rPr>
          <w:rFonts w:ascii="Times New Roman" w:hAnsi="Times New Roman"/>
          <w:b/>
          <w:sz w:val="24"/>
          <w:szCs w:val="20"/>
        </w:rPr>
        <w:t>Търговци по смисъла на Търговския закон или Закона за кооперациите или са еквивалентни лица по смисъла на законодателството на държава-членка на Европейското икономическо пространство и сдружения между тях</w:t>
      </w:r>
      <w:r w:rsidRPr="00B623EA">
        <w:rPr>
          <w:rFonts w:ascii="Times New Roman" w:hAnsi="Times New Roman"/>
          <w:b/>
          <w:sz w:val="24"/>
          <w:szCs w:val="20"/>
        </w:rPr>
        <w:t>,</w:t>
      </w:r>
      <w:r w:rsidRPr="00B623EA">
        <w:rPr>
          <w:rFonts w:ascii="Times New Roman" w:hAnsi="Times New Roman"/>
          <w:sz w:val="24"/>
          <w:szCs w:val="20"/>
        </w:rPr>
        <w:t xml:space="preserve"> за изграждането на публ</w:t>
      </w:r>
      <w:r>
        <w:rPr>
          <w:rFonts w:ascii="Times New Roman" w:hAnsi="Times New Roman"/>
          <w:sz w:val="24"/>
          <w:szCs w:val="20"/>
        </w:rPr>
        <w:t>ично достъпна, надеждна и лесна за използване инфраструктурна мрежа за алтернативни горива.</w:t>
      </w:r>
    </w:p>
    <w:p w14:paraId="3DBDAA32" w14:textId="2E9EE4BA" w:rsidR="00E152BF" w:rsidRPr="00E152BF" w:rsidRDefault="00E152BF" w:rsidP="00E152BF">
      <w:pPr>
        <w:spacing w:before="120" w:after="120"/>
        <w:ind w:firstLine="567"/>
        <w:jc w:val="both"/>
        <w:rPr>
          <w:rFonts w:ascii="Times New Roman" w:hAnsi="Times New Roman"/>
          <w:sz w:val="24"/>
          <w:szCs w:val="20"/>
        </w:rPr>
      </w:pPr>
      <w:r w:rsidRPr="00E152BF">
        <w:rPr>
          <w:rFonts w:ascii="Times New Roman" w:hAnsi="Times New Roman"/>
          <w:sz w:val="24"/>
          <w:szCs w:val="20"/>
        </w:rPr>
        <w:lastRenderedPageBreak/>
        <w:t xml:space="preserve">Предвидените инвестиции ще допринесат за изграждането на зарядни точки </w:t>
      </w:r>
      <w:r w:rsidR="00BE13BC">
        <w:rPr>
          <w:rFonts w:ascii="Times New Roman" w:hAnsi="Times New Roman"/>
          <w:sz w:val="24"/>
          <w:szCs w:val="20"/>
        </w:rPr>
        <w:t xml:space="preserve">за лекотоварни и/или тежкотоварни електрически превозни средства </w:t>
      </w:r>
      <w:r w:rsidRPr="00E152BF">
        <w:rPr>
          <w:rFonts w:ascii="Times New Roman" w:hAnsi="Times New Roman"/>
          <w:sz w:val="24"/>
          <w:szCs w:val="20"/>
        </w:rPr>
        <w:t xml:space="preserve">по протежение на основната и широкообхватната </w:t>
      </w:r>
      <w:r w:rsidRPr="00E152BF">
        <w:rPr>
          <w:rFonts w:ascii="Times New Roman" w:hAnsi="Times New Roman"/>
          <w:sz w:val="24"/>
          <w:szCs w:val="20"/>
          <w:lang w:val="en-US"/>
        </w:rPr>
        <w:t xml:space="preserve">TEN–T </w:t>
      </w:r>
      <w:r w:rsidRPr="00E152BF">
        <w:rPr>
          <w:rFonts w:ascii="Times New Roman" w:hAnsi="Times New Roman"/>
          <w:sz w:val="24"/>
          <w:szCs w:val="20"/>
        </w:rPr>
        <w:t>мрежа</w:t>
      </w:r>
      <w:r>
        <w:rPr>
          <w:rFonts w:ascii="Times New Roman" w:hAnsi="Times New Roman"/>
          <w:sz w:val="24"/>
          <w:szCs w:val="20"/>
        </w:rPr>
        <w:t xml:space="preserve">, </w:t>
      </w:r>
      <w:r w:rsidR="00254D0E">
        <w:rPr>
          <w:rFonts w:ascii="Times New Roman" w:hAnsi="Times New Roman"/>
          <w:sz w:val="24"/>
          <w:szCs w:val="20"/>
        </w:rPr>
        <w:t xml:space="preserve">както и на съответната прилежаща инфраструктура, </w:t>
      </w:r>
      <w:r>
        <w:rPr>
          <w:rFonts w:ascii="Times New Roman" w:hAnsi="Times New Roman"/>
          <w:sz w:val="24"/>
          <w:szCs w:val="20"/>
        </w:rPr>
        <w:t xml:space="preserve">които следва да отговарят на заложените изисквания за </w:t>
      </w:r>
      <w:r w:rsidR="00254D0E">
        <w:rPr>
          <w:rFonts w:ascii="Times New Roman" w:hAnsi="Times New Roman"/>
          <w:sz w:val="24"/>
          <w:szCs w:val="20"/>
        </w:rPr>
        <w:t>разгръщане на зарядна инфраструктура съгласно Р</w:t>
      </w:r>
      <w:r>
        <w:rPr>
          <w:rFonts w:ascii="Times New Roman" w:hAnsi="Times New Roman"/>
          <w:sz w:val="24"/>
          <w:szCs w:val="20"/>
        </w:rPr>
        <w:t xml:space="preserve">егламент </w:t>
      </w:r>
      <w:r w:rsidR="00254D0E">
        <w:rPr>
          <w:rFonts w:ascii="Times New Roman" w:hAnsi="Times New Roman"/>
          <w:sz w:val="24"/>
          <w:szCs w:val="20"/>
        </w:rPr>
        <w:t xml:space="preserve">(ЕС) </w:t>
      </w:r>
      <w:r w:rsidR="00254D0E" w:rsidRPr="00254D0E">
        <w:rPr>
          <w:rFonts w:ascii="Times New Roman" w:hAnsi="Times New Roman"/>
          <w:noProof/>
          <w:sz w:val="24"/>
          <w:szCs w:val="20"/>
        </w:rPr>
        <w:t>2023/1804</w:t>
      </w:r>
      <w:r w:rsidR="00BE13BC">
        <w:rPr>
          <w:rFonts w:ascii="Times New Roman" w:hAnsi="Times New Roman"/>
          <w:noProof/>
          <w:sz w:val="24"/>
          <w:szCs w:val="20"/>
        </w:rPr>
        <w:t xml:space="preserve">. </w:t>
      </w:r>
    </w:p>
    <w:p w14:paraId="3037225C" w14:textId="77777777" w:rsidR="00254D0E" w:rsidRPr="00851CA5" w:rsidRDefault="00254D0E" w:rsidP="00254D0E">
      <w:pPr>
        <w:spacing w:before="120" w:after="120"/>
        <w:ind w:firstLine="357"/>
        <w:jc w:val="both"/>
        <w:rPr>
          <w:rFonts w:ascii="Times New Roman" w:hAnsi="Times New Roman"/>
          <w:sz w:val="24"/>
          <w:szCs w:val="20"/>
        </w:rPr>
      </w:pPr>
      <w:r>
        <w:rPr>
          <w:rFonts w:ascii="Times New Roman" w:hAnsi="Times New Roman"/>
          <w:sz w:val="24"/>
          <w:szCs w:val="20"/>
        </w:rPr>
        <w:t xml:space="preserve">Подкрепа за насърчаване на изграждането на зарядни станции по </w:t>
      </w:r>
      <w:r w:rsidRPr="0094565E">
        <w:rPr>
          <w:rFonts w:ascii="Times New Roman" w:hAnsi="Times New Roman"/>
          <w:sz w:val="24"/>
          <w:szCs w:val="20"/>
        </w:rPr>
        <w:t xml:space="preserve">ПТС допринася за реализацията на Зелената сделка, както и на Стратегията за устойчива и интелигентна мобилност на ЕК, която предвижда транспортния сектор да намали значително своите емисии и да стане по-устойчив, както и екологичната мобилност да бъде новия метод за растеж на транспортния сектор. </w:t>
      </w:r>
      <w:r w:rsidRPr="00851CA5">
        <w:rPr>
          <w:rFonts w:ascii="Times New Roman" w:hAnsi="Times New Roman"/>
          <w:sz w:val="24"/>
          <w:szCs w:val="20"/>
        </w:rPr>
        <w:t xml:space="preserve">Предвидените инвестиции насърчават употребата на екологосъобразни видове транспорт и алтернативни горива, подобряват качеството на пътната инфраструктура и допринасят за намаляване на вредното въздействие върху околната среда на транспорта. </w:t>
      </w:r>
    </w:p>
    <w:p w14:paraId="4E2DEBA7" w14:textId="704A5FDF" w:rsidR="007B0B67" w:rsidRPr="00B9169F" w:rsidRDefault="007B0B67" w:rsidP="007B0B67">
      <w:pPr>
        <w:spacing w:before="120" w:after="120"/>
        <w:ind w:firstLine="567"/>
        <w:jc w:val="both"/>
        <w:rPr>
          <w:rFonts w:ascii="Times New Roman" w:hAnsi="Times New Roman"/>
          <w:sz w:val="24"/>
          <w:szCs w:val="20"/>
        </w:rPr>
      </w:pPr>
      <w:r w:rsidRPr="00B9169F">
        <w:rPr>
          <w:rFonts w:ascii="Times New Roman" w:hAnsi="Times New Roman"/>
          <w:sz w:val="24"/>
          <w:szCs w:val="20"/>
        </w:rPr>
        <w:t xml:space="preserve">Предвижда се </w:t>
      </w:r>
      <w:r w:rsidR="003F16C9" w:rsidRPr="00B9169F">
        <w:rPr>
          <w:rFonts w:ascii="Times New Roman" w:hAnsi="Times New Roman"/>
          <w:sz w:val="24"/>
          <w:szCs w:val="20"/>
        </w:rPr>
        <w:t>безвъзмездна финансова помощ</w:t>
      </w:r>
      <w:r w:rsidRPr="00B9169F">
        <w:rPr>
          <w:rFonts w:ascii="Times New Roman" w:hAnsi="Times New Roman"/>
          <w:sz w:val="24"/>
          <w:szCs w:val="20"/>
        </w:rPr>
        <w:t xml:space="preserve"> да бъде предоставена чрез </w:t>
      </w:r>
      <w:r w:rsidR="00CA6092" w:rsidRPr="00B9169F">
        <w:rPr>
          <w:rFonts w:ascii="Times New Roman" w:hAnsi="Times New Roman"/>
          <w:sz w:val="24"/>
          <w:szCs w:val="20"/>
        </w:rPr>
        <w:t>подбор на проектни предложения</w:t>
      </w:r>
      <w:r w:rsidRPr="00B9169F">
        <w:rPr>
          <w:rFonts w:ascii="Times New Roman" w:hAnsi="Times New Roman"/>
          <w:sz w:val="24"/>
          <w:szCs w:val="20"/>
        </w:rPr>
        <w:t xml:space="preserve"> по ПТС до края на 2029 г., в съответствие с чл. </w:t>
      </w:r>
      <w:r w:rsidR="00CA6092" w:rsidRPr="00B9169F">
        <w:rPr>
          <w:rFonts w:ascii="Times New Roman" w:hAnsi="Times New Roman"/>
          <w:sz w:val="24"/>
          <w:szCs w:val="20"/>
        </w:rPr>
        <w:t xml:space="preserve">29 </w:t>
      </w:r>
      <w:r w:rsidRPr="00B9169F">
        <w:rPr>
          <w:rFonts w:ascii="Times New Roman" w:hAnsi="Times New Roman"/>
          <w:sz w:val="24"/>
          <w:szCs w:val="20"/>
        </w:rPr>
        <w:t xml:space="preserve">на ЗУСЕФСУ. </w:t>
      </w:r>
    </w:p>
    <w:p w14:paraId="3544A92D" w14:textId="3A733EBC" w:rsidR="00C017EF" w:rsidRDefault="009C799E" w:rsidP="009C799E">
      <w:pPr>
        <w:shd w:val="clear" w:color="auto" w:fill="FFFFFF" w:themeFill="background1"/>
        <w:spacing w:before="120" w:after="120" w:line="276" w:lineRule="auto"/>
        <w:ind w:firstLine="360"/>
        <w:jc w:val="both"/>
        <w:rPr>
          <w:rFonts w:ascii="Times New Roman" w:hAnsi="Times New Roman"/>
          <w:sz w:val="24"/>
          <w:szCs w:val="24"/>
        </w:rPr>
      </w:pPr>
      <w:r w:rsidRPr="009C799E">
        <w:rPr>
          <w:rFonts w:ascii="Times New Roman" w:hAnsi="Times New Roman"/>
          <w:sz w:val="24"/>
          <w:szCs w:val="24"/>
        </w:rPr>
        <w:t>С оглед на гореизложеното по отношение на конкретното инвестиционно намерение следва да се приеме, че д</w:t>
      </w:r>
      <w:r w:rsidR="00FD4CC6" w:rsidRPr="00F66B3E">
        <w:rPr>
          <w:rFonts w:ascii="Times New Roman" w:hAnsi="Times New Roman"/>
          <w:sz w:val="24"/>
          <w:szCs w:val="24"/>
        </w:rPr>
        <w:t>ейностите по проект „</w:t>
      </w:r>
      <w:r w:rsidR="009E7462">
        <w:rPr>
          <w:rFonts w:ascii="Times New Roman" w:hAnsi="Times New Roman"/>
          <w:sz w:val="24"/>
          <w:szCs w:val="24"/>
        </w:rPr>
        <w:t>Зарядна инфраструктура за електрически превозни средства</w:t>
      </w:r>
      <w:r w:rsidR="00A859BF">
        <w:rPr>
          <w:rFonts w:ascii="Times New Roman" w:hAnsi="Times New Roman"/>
          <w:sz w:val="24"/>
          <w:szCs w:val="24"/>
        </w:rPr>
        <w:t xml:space="preserve"> – втора процедура</w:t>
      </w:r>
      <w:r w:rsidR="00FD4CC6" w:rsidRPr="00F66B3E">
        <w:rPr>
          <w:rFonts w:ascii="Times New Roman" w:hAnsi="Times New Roman"/>
          <w:sz w:val="24"/>
          <w:szCs w:val="24"/>
        </w:rPr>
        <w:t xml:space="preserve">” попадат в обхвата на Регламент (ЕС) № 651/2014 за групово освобождаване (ОРГО), изменен чрез Регламент (ЕС) </w:t>
      </w:r>
      <w:r w:rsidR="00C017EF">
        <w:rPr>
          <w:rFonts w:ascii="Times New Roman" w:hAnsi="Times New Roman"/>
          <w:sz w:val="24"/>
          <w:szCs w:val="24"/>
        </w:rPr>
        <w:t>2023/1315</w:t>
      </w:r>
      <w:r w:rsidR="00FD4CC6" w:rsidRPr="00F66B3E">
        <w:rPr>
          <w:rFonts w:ascii="Times New Roman" w:hAnsi="Times New Roman"/>
          <w:sz w:val="24"/>
          <w:szCs w:val="24"/>
        </w:rPr>
        <w:t xml:space="preserve"> на Комисията от </w:t>
      </w:r>
      <w:r w:rsidR="00C017EF">
        <w:rPr>
          <w:rFonts w:ascii="Times New Roman" w:hAnsi="Times New Roman"/>
          <w:sz w:val="24"/>
          <w:szCs w:val="24"/>
        </w:rPr>
        <w:t>23</w:t>
      </w:r>
      <w:r w:rsidR="00FD4CC6" w:rsidRPr="00F66B3E">
        <w:rPr>
          <w:rFonts w:ascii="Times New Roman" w:hAnsi="Times New Roman"/>
          <w:sz w:val="24"/>
          <w:szCs w:val="24"/>
        </w:rPr>
        <w:t xml:space="preserve"> юни 20</w:t>
      </w:r>
      <w:r w:rsidR="00C017EF">
        <w:rPr>
          <w:rFonts w:ascii="Times New Roman" w:hAnsi="Times New Roman"/>
          <w:sz w:val="24"/>
          <w:szCs w:val="24"/>
        </w:rPr>
        <w:t xml:space="preserve">23 година и по специално в </w:t>
      </w:r>
      <w:r w:rsidR="00C017EF" w:rsidRPr="009E7462">
        <w:rPr>
          <w:rFonts w:ascii="Times New Roman" w:hAnsi="Times New Roman"/>
          <w:b/>
          <w:sz w:val="24"/>
          <w:szCs w:val="24"/>
        </w:rPr>
        <w:t>чл. 36а</w:t>
      </w:r>
      <w:r w:rsidR="00C017EF">
        <w:rPr>
          <w:rFonts w:ascii="Times New Roman" w:hAnsi="Times New Roman"/>
          <w:sz w:val="24"/>
          <w:szCs w:val="24"/>
        </w:rPr>
        <w:t xml:space="preserve"> от него, отнасящ се </w:t>
      </w:r>
      <w:r w:rsidR="00C017EF" w:rsidRPr="009E7462">
        <w:rPr>
          <w:rFonts w:ascii="Times New Roman" w:hAnsi="Times New Roman"/>
          <w:b/>
          <w:sz w:val="24"/>
          <w:szCs w:val="24"/>
        </w:rPr>
        <w:t>до „Инвестиционни помощи за инфраструктура за зареждане с електроенергия или гориво“</w:t>
      </w:r>
      <w:r w:rsidR="00C017EF">
        <w:rPr>
          <w:rFonts w:ascii="Times New Roman" w:hAnsi="Times New Roman"/>
          <w:sz w:val="24"/>
          <w:szCs w:val="24"/>
        </w:rPr>
        <w:t>.</w:t>
      </w:r>
    </w:p>
    <w:p w14:paraId="261AE643" w14:textId="77777777" w:rsidR="00A5273F" w:rsidRPr="003D06EE" w:rsidRDefault="00FD4CC6" w:rsidP="003D06EE">
      <w:pPr>
        <w:shd w:val="clear" w:color="auto" w:fill="FFFFFF" w:themeFill="background1"/>
        <w:spacing w:before="120" w:after="120" w:line="276" w:lineRule="auto"/>
        <w:ind w:firstLine="360"/>
        <w:jc w:val="both"/>
        <w:rPr>
          <w:rFonts w:ascii="Times New Roman" w:hAnsi="Times New Roman"/>
          <w:sz w:val="24"/>
          <w:szCs w:val="24"/>
        </w:rPr>
      </w:pPr>
      <w:r w:rsidRPr="003D06EE">
        <w:rPr>
          <w:rFonts w:ascii="Times New Roman" w:hAnsi="Times New Roman"/>
          <w:sz w:val="24"/>
          <w:szCs w:val="24"/>
        </w:rPr>
        <w:t>В определения</w:t>
      </w:r>
      <w:r w:rsidR="00C017EF" w:rsidRPr="003D06EE">
        <w:rPr>
          <w:rFonts w:ascii="Times New Roman" w:hAnsi="Times New Roman"/>
          <w:sz w:val="24"/>
          <w:szCs w:val="24"/>
        </w:rPr>
        <w:t>та</w:t>
      </w:r>
      <w:r w:rsidRPr="003D06EE">
        <w:rPr>
          <w:rFonts w:ascii="Times New Roman" w:hAnsi="Times New Roman"/>
          <w:sz w:val="24"/>
          <w:szCs w:val="24"/>
        </w:rPr>
        <w:t xml:space="preserve"> за помощи</w:t>
      </w:r>
      <w:r w:rsidR="00A5273F" w:rsidRPr="003D06EE">
        <w:rPr>
          <w:rFonts w:ascii="Times New Roman" w:hAnsi="Times New Roman"/>
          <w:sz w:val="24"/>
          <w:szCs w:val="24"/>
        </w:rPr>
        <w:t>те за опазване на околната среда</w:t>
      </w:r>
      <w:r w:rsidRPr="003D06EE">
        <w:rPr>
          <w:rFonts w:ascii="Times New Roman" w:hAnsi="Times New Roman"/>
          <w:sz w:val="24"/>
          <w:szCs w:val="24"/>
        </w:rPr>
        <w:t xml:space="preserve"> в т. </w:t>
      </w:r>
      <w:r w:rsidR="00A5273F" w:rsidRPr="003D06EE">
        <w:rPr>
          <w:rFonts w:ascii="Times New Roman" w:hAnsi="Times New Roman"/>
          <w:sz w:val="24"/>
          <w:szCs w:val="24"/>
        </w:rPr>
        <w:t>102а</w:t>
      </w:r>
      <w:r w:rsidRPr="003D06EE">
        <w:rPr>
          <w:rFonts w:ascii="Times New Roman" w:hAnsi="Times New Roman"/>
          <w:sz w:val="24"/>
          <w:szCs w:val="24"/>
        </w:rPr>
        <w:t xml:space="preserve"> от Регламента е дадена дефиниция за „инфраструктура за </w:t>
      </w:r>
      <w:r w:rsidR="00A5273F" w:rsidRPr="003D06EE">
        <w:rPr>
          <w:rFonts w:ascii="Times New Roman" w:hAnsi="Times New Roman"/>
          <w:sz w:val="24"/>
          <w:szCs w:val="24"/>
        </w:rPr>
        <w:t>зареждане с електроенергия</w:t>
      </w:r>
      <w:r w:rsidRPr="003D06EE">
        <w:rPr>
          <w:rFonts w:ascii="Times New Roman" w:hAnsi="Times New Roman"/>
          <w:sz w:val="24"/>
          <w:szCs w:val="24"/>
        </w:rPr>
        <w:t xml:space="preserve">“ с текст </w:t>
      </w:r>
      <w:r w:rsidR="00A5273F" w:rsidRPr="003D06EE">
        <w:rPr>
          <w:rFonts w:ascii="Times New Roman" w:hAnsi="Times New Roman"/>
          <w:sz w:val="24"/>
          <w:szCs w:val="24"/>
        </w:rPr>
        <w:t>„фиксирана или мобилна инфраструктура, снабдяваща превозни средства, мобилно оборудване за обслужване на терминал или за наземно обслужване с електроенергия“.</w:t>
      </w:r>
    </w:p>
    <w:p w14:paraId="710053AE" w14:textId="2BFBA2EC" w:rsidR="00BC0731" w:rsidRPr="000F5A71" w:rsidRDefault="00FD4CC6" w:rsidP="000F5A71">
      <w:pPr>
        <w:shd w:val="clear" w:color="auto" w:fill="FFFFFF" w:themeFill="background1"/>
        <w:spacing w:before="120" w:after="120" w:line="276" w:lineRule="auto"/>
        <w:ind w:firstLine="360"/>
        <w:jc w:val="both"/>
        <w:rPr>
          <w:rFonts w:ascii="Times New Roman" w:hAnsi="Times New Roman"/>
          <w:sz w:val="24"/>
          <w:szCs w:val="24"/>
        </w:rPr>
      </w:pPr>
      <w:r w:rsidRPr="000F5A71">
        <w:rPr>
          <w:rFonts w:ascii="Times New Roman" w:hAnsi="Times New Roman"/>
          <w:sz w:val="24"/>
          <w:szCs w:val="24"/>
        </w:rPr>
        <w:t xml:space="preserve">Съгласно регламентираните в чл. </w:t>
      </w:r>
      <w:r w:rsidR="00BC0731" w:rsidRPr="000F5A71">
        <w:rPr>
          <w:rFonts w:ascii="Times New Roman" w:hAnsi="Times New Roman"/>
          <w:sz w:val="24"/>
          <w:szCs w:val="24"/>
        </w:rPr>
        <w:t>36а, параграф 3</w:t>
      </w:r>
      <w:r w:rsidRPr="000F5A71">
        <w:rPr>
          <w:rFonts w:ascii="Times New Roman" w:hAnsi="Times New Roman"/>
          <w:sz w:val="24"/>
          <w:szCs w:val="24"/>
        </w:rPr>
        <w:t xml:space="preserve"> от ОРГО допустими разходи за </w:t>
      </w:r>
      <w:r w:rsidR="00BC0731" w:rsidRPr="000F5A71">
        <w:rPr>
          <w:rFonts w:ascii="Times New Roman" w:hAnsi="Times New Roman"/>
          <w:sz w:val="24"/>
          <w:szCs w:val="24"/>
        </w:rPr>
        <w:t xml:space="preserve">инфраструктури за зареждане с електроенергия </w:t>
      </w:r>
      <w:r w:rsidRPr="000F5A71">
        <w:rPr>
          <w:rFonts w:ascii="Times New Roman" w:hAnsi="Times New Roman"/>
          <w:sz w:val="24"/>
          <w:szCs w:val="24"/>
        </w:rPr>
        <w:t xml:space="preserve">са </w:t>
      </w:r>
      <w:r w:rsidR="00BC0731" w:rsidRPr="000F5A71">
        <w:rPr>
          <w:rFonts w:ascii="Times New Roman" w:hAnsi="Times New Roman"/>
          <w:sz w:val="24"/>
          <w:szCs w:val="24"/>
        </w:rPr>
        <w:t>тези за изграждане, инсталиране, модернизиране или разширяване на инфраструктура за зареждане с електроенергия или гориво. Към тези разходи може да спадат разходите за самата инфраструктура за зареждане с електроенергия или гориво или свързаното с нея техническо оборудване, разходите за инсталиране или модернизиране на електрически или други компоненти, включително електрически кабели и силови трансформатори, които са необходими за свързване на инфраструктурата за зареждане с електроенергия или гориво към мрежата или към местна единица за производство или съхранение на електроенергия, както и разходите за строителни работи, адаптация на земя или път, инсталационните разходи и разходите за получаване на необходимите разрешителни.</w:t>
      </w:r>
    </w:p>
    <w:p w14:paraId="34973505" w14:textId="5BB14DF3" w:rsidR="00BC0731" w:rsidRDefault="00BC0731" w:rsidP="000F5A71">
      <w:pPr>
        <w:shd w:val="clear" w:color="auto" w:fill="FFFFFF" w:themeFill="background1"/>
        <w:spacing w:before="120" w:after="120" w:line="276" w:lineRule="auto"/>
        <w:ind w:firstLine="360"/>
        <w:jc w:val="both"/>
        <w:rPr>
          <w:rFonts w:ascii="Times New Roman" w:hAnsi="Times New Roman"/>
          <w:sz w:val="24"/>
          <w:szCs w:val="24"/>
        </w:rPr>
      </w:pPr>
      <w:r w:rsidRPr="000F5A71">
        <w:rPr>
          <w:rFonts w:ascii="Times New Roman" w:hAnsi="Times New Roman"/>
          <w:sz w:val="24"/>
          <w:szCs w:val="24"/>
        </w:rPr>
        <w:t xml:space="preserve">Допустимите разходи може също така да обхващат инвестиционните разходи за производство на място на електроенергия от възобновяеми източници и инвестиционните разходи на единиците за съхранение, свързани със съхранението на електроенергия от възобновяеми източници . Номиналният производствен капацитет на инсталацията за производство на електроенергия от възобновяеми източници на място не надхвърля максималната обявена изходна мощност или капацитета за зареждане с </w:t>
      </w:r>
      <w:r w:rsidRPr="000F5A71">
        <w:rPr>
          <w:rFonts w:ascii="Times New Roman" w:hAnsi="Times New Roman"/>
          <w:sz w:val="24"/>
          <w:szCs w:val="24"/>
        </w:rPr>
        <w:lastRenderedPageBreak/>
        <w:t>гориво на инфраструктурата за зареждане с електроенергия или гориво, към която инсталацията е свързана</w:t>
      </w:r>
      <w:r w:rsidR="004A7B9B">
        <w:rPr>
          <w:rFonts w:ascii="Times New Roman" w:hAnsi="Times New Roman"/>
          <w:sz w:val="24"/>
          <w:szCs w:val="24"/>
        </w:rPr>
        <w:t>.</w:t>
      </w:r>
    </w:p>
    <w:p w14:paraId="27D9CF91" w14:textId="268A3221" w:rsidR="004A7B9B" w:rsidRDefault="004A7B9B" w:rsidP="00A253C8">
      <w:pPr>
        <w:pStyle w:val="Default"/>
        <w:ind w:firstLine="567"/>
        <w:jc w:val="both"/>
      </w:pPr>
      <w:r w:rsidRPr="00BC0731">
        <w:t xml:space="preserve">Номиналният производствен капацитет на инсталацията за </w:t>
      </w:r>
      <w:r w:rsidRPr="0064362D">
        <w:t xml:space="preserve">производство на електроенергия от възобновяеми източници </w:t>
      </w:r>
      <w:r w:rsidRPr="00BC0731">
        <w:t>на място не надхвърля максималната обявена изходна мощност или капацитета за зареждане с гориво на инфраструктурата за зареждане с електроенергия или гориво, към която инсталацията е свързана</w:t>
      </w:r>
      <w:r>
        <w:t>.</w:t>
      </w:r>
    </w:p>
    <w:p w14:paraId="69FCC3D7" w14:textId="77777777" w:rsidR="004A7B9B" w:rsidRDefault="004A7B9B" w:rsidP="00E8266F">
      <w:pPr>
        <w:pStyle w:val="Default"/>
        <w:ind w:firstLine="567"/>
        <w:jc w:val="both"/>
      </w:pPr>
    </w:p>
    <w:p w14:paraId="20F20AF7" w14:textId="77777777" w:rsidR="004A7B9B" w:rsidRPr="00BC0731" w:rsidRDefault="004A7B9B" w:rsidP="00A253C8">
      <w:pPr>
        <w:pStyle w:val="Default"/>
        <w:ind w:firstLine="567"/>
        <w:jc w:val="both"/>
      </w:pPr>
      <w:r>
        <w:t>Това обстоятелство ще бъде проверено от УО както на ниво кандидатстване, така и ще бъде проследявано по време на експлоатацията на съоръженията.</w:t>
      </w:r>
    </w:p>
    <w:p w14:paraId="6E8608F1" w14:textId="604DEC4A" w:rsidR="003C7622" w:rsidRDefault="004A7B9B" w:rsidP="001220BD">
      <w:pPr>
        <w:spacing w:before="120" w:after="0" w:line="240" w:lineRule="auto"/>
        <w:ind w:firstLine="567"/>
        <w:jc w:val="both"/>
        <w:rPr>
          <w:rFonts w:ascii="Times New Roman" w:hAnsi="Times New Roman"/>
          <w:b/>
          <w:sz w:val="24"/>
          <w:szCs w:val="24"/>
        </w:rPr>
      </w:pPr>
      <w:r w:rsidRPr="0066545E">
        <w:rPr>
          <w:rFonts w:ascii="Times New Roman" w:hAnsi="Times New Roman"/>
          <w:b/>
          <w:sz w:val="24"/>
          <w:szCs w:val="24"/>
        </w:rPr>
        <w:t>С</w:t>
      </w:r>
      <w:r w:rsidR="003C7622" w:rsidRPr="0066545E">
        <w:rPr>
          <w:rFonts w:ascii="Times New Roman" w:hAnsi="Times New Roman"/>
          <w:b/>
          <w:sz w:val="24"/>
          <w:szCs w:val="24"/>
        </w:rPr>
        <w:t>ъ</w:t>
      </w:r>
      <w:r w:rsidR="003C7622" w:rsidRPr="00884772">
        <w:rPr>
          <w:rFonts w:ascii="Times New Roman" w:hAnsi="Times New Roman"/>
          <w:b/>
          <w:sz w:val="24"/>
          <w:szCs w:val="24"/>
        </w:rPr>
        <w:t xml:space="preserve">гласно допустимостта на разходите по </w:t>
      </w:r>
      <w:r w:rsidR="005C5051">
        <w:rPr>
          <w:rFonts w:ascii="Times New Roman" w:hAnsi="Times New Roman"/>
          <w:b/>
          <w:sz w:val="24"/>
          <w:szCs w:val="24"/>
        </w:rPr>
        <w:t>Европейския фонд за регионално развитие (</w:t>
      </w:r>
      <w:r w:rsidR="003C7622" w:rsidRPr="00884772">
        <w:rPr>
          <w:rFonts w:ascii="Times New Roman" w:hAnsi="Times New Roman"/>
          <w:b/>
          <w:sz w:val="24"/>
          <w:szCs w:val="24"/>
        </w:rPr>
        <w:t>ЕФФР</w:t>
      </w:r>
      <w:r w:rsidR="005C5051">
        <w:rPr>
          <w:rFonts w:ascii="Times New Roman" w:hAnsi="Times New Roman"/>
          <w:b/>
          <w:sz w:val="24"/>
          <w:szCs w:val="24"/>
        </w:rPr>
        <w:t>)</w:t>
      </w:r>
      <w:r w:rsidR="003C7622" w:rsidRPr="00884772">
        <w:rPr>
          <w:rFonts w:ascii="Times New Roman" w:hAnsi="Times New Roman"/>
          <w:b/>
          <w:sz w:val="24"/>
          <w:szCs w:val="24"/>
        </w:rPr>
        <w:t xml:space="preserve"> не са допустими проектни инвестиции в</w:t>
      </w:r>
      <w:r w:rsidR="00765085">
        <w:rPr>
          <w:rFonts w:ascii="Times New Roman" w:hAnsi="Times New Roman"/>
          <w:b/>
          <w:sz w:val="24"/>
          <w:szCs w:val="24"/>
        </w:rPr>
        <w:t xml:space="preserve"> т.нар. региони в преход (или региони тип В от ДФЕС)</w:t>
      </w:r>
      <w:r w:rsidR="0066545E">
        <w:rPr>
          <w:rFonts w:ascii="Times New Roman" w:hAnsi="Times New Roman"/>
          <w:b/>
          <w:sz w:val="24"/>
          <w:szCs w:val="24"/>
        </w:rPr>
        <w:t xml:space="preserve"> и </w:t>
      </w:r>
      <w:r w:rsidR="00765085">
        <w:rPr>
          <w:rFonts w:ascii="Times New Roman" w:hAnsi="Times New Roman"/>
          <w:b/>
          <w:sz w:val="24"/>
          <w:szCs w:val="24"/>
        </w:rPr>
        <w:t xml:space="preserve">, няма да бъдат разглеждани проектни предложения, които предвиждат инвестиции в </w:t>
      </w:r>
      <w:r w:rsidR="003C7622" w:rsidRPr="00884772">
        <w:rPr>
          <w:rFonts w:ascii="Times New Roman" w:hAnsi="Times New Roman"/>
          <w:b/>
          <w:sz w:val="24"/>
          <w:szCs w:val="24"/>
        </w:rPr>
        <w:t>Югозападен регион.</w:t>
      </w:r>
    </w:p>
    <w:p w14:paraId="2711FE43" w14:textId="4F63B296" w:rsidR="00FD4CC6" w:rsidRPr="005E686B" w:rsidRDefault="00765085" w:rsidP="00533D0F">
      <w:pPr>
        <w:spacing w:before="120" w:after="0" w:line="240" w:lineRule="auto"/>
        <w:ind w:firstLine="360"/>
        <w:jc w:val="both"/>
        <w:rPr>
          <w:rFonts w:ascii="Times New Roman" w:hAnsi="Times New Roman"/>
          <w:sz w:val="24"/>
          <w:szCs w:val="24"/>
        </w:rPr>
      </w:pPr>
      <w:r>
        <w:rPr>
          <w:rFonts w:ascii="Times New Roman" w:hAnsi="Times New Roman"/>
          <w:sz w:val="24"/>
          <w:szCs w:val="24"/>
        </w:rPr>
        <w:t xml:space="preserve">Също така </w:t>
      </w:r>
      <w:r w:rsidR="005B7A87">
        <w:rPr>
          <w:rFonts w:ascii="Times New Roman" w:hAnsi="Times New Roman"/>
          <w:sz w:val="24"/>
          <w:szCs w:val="24"/>
        </w:rPr>
        <w:t>съгл</w:t>
      </w:r>
      <w:r>
        <w:rPr>
          <w:rFonts w:ascii="Times New Roman" w:hAnsi="Times New Roman"/>
          <w:sz w:val="24"/>
          <w:szCs w:val="24"/>
        </w:rPr>
        <w:t>асно</w:t>
      </w:r>
      <w:r w:rsidR="005B7A87">
        <w:rPr>
          <w:rFonts w:ascii="Times New Roman" w:hAnsi="Times New Roman"/>
          <w:sz w:val="24"/>
          <w:szCs w:val="24"/>
        </w:rPr>
        <w:t xml:space="preserve"> пар</w:t>
      </w:r>
      <w:r>
        <w:rPr>
          <w:rFonts w:ascii="Times New Roman" w:hAnsi="Times New Roman"/>
          <w:sz w:val="24"/>
          <w:szCs w:val="24"/>
        </w:rPr>
        <w:t>аграф</w:t>
      </w:r>
      <w:r w:rsidR="005B7A87">
        <w:rPr>
          <w:rFonts w:ascii="Times New Roman" w:hAnsi="Times New Roman"/>
          <w:sz w:val="24"/>
          <w:szCs w:val="24"/>
        </w:rPr>
        <w:t xml:space="preserve"> 7 на чл. 36а </w:t>
      </w:r>
      <w:r>
        <w:rPr>
          <w:rFonts w:ascii="Times New Roman" w:hAnsi="Times New Roman"/>
          <w:sz w:val="24"/>
          <w:szCs w:val="24"/>
        </w:rPr>
        <w:t xml:space="preserve">помощта предоставена на кое да е предприятие </w:t>
      </w:r>
      <w:r w:rsidR="007F2E6B">
        <w:rPr>
          <w:rFonts w:ascii="Times New Roman" w:hAnsi="Times New Roman"/>
          <w:sz w:val="24"/>
          <w:szCs w:val="24"/>
        </w:rPr>
        <w:t>не</w:t>
      </w:r>
      <w:r w:rsidR="005B7A87">
        <w:rPr>
          <w:rFonts w:ascii="Times New Roman" w:hAnsi="Times New Roman"/>
          <w:sz w:val="24"/>
          <w:szCs w:val="24"/>
        </w:rPr>
        <w:t xml:space="preserve"> следва да </w:t>
      </w:r>
      <w:r w:rsidR="007F2E6B">
        <w:rPr>
          <w:rFonts w:ascii="Times New Roman" w:hAnsi="Times New Roman"/>
          <w:sz w:val="24"/>
          <w:szCs w:val="24"/>
        </w:rPr>
        <w:t>надхвърля 40% от общ</w:t>
      </w:r>
      <w:r w:rsidR="0010347D">
        <w:rPr>
          <w:rFonts w:ascii="Times New Roman" w:hAnsi="Times New Roman"/>
          <w:sz w:val="24"/>
          <w:szCs w:val="24"/>
        </w:rPr>
        <w:t xml:space="preserve">ия бюджет на съответната схема, а именно – </w:t>
      </w:r>
      <w:r w:rsidR="00FF5B9E">
        <w:rPr>
          <w:rFonts w:ascii="Times New Roman" w:hAnsi="Times New Roman"/>
          <w:sz w:val="24"/>
          <w:szCs w:val="24"/>
          <w:lang w:val="en-US"/>
        </w:rPr>
        <w:t>8.7</w:t>
      </w:r>
      <w:r w:rsidR="0010347D" w:rsidRPr="001E0281">
        <w:rPr>
          <w:rFonts w:ascii="Times New Roman" w:hAnsi="Times New Roman"/>
          <w:sz w:val="24"/>
          <w:szCs w:val="24"/>
        </w:rPr>
        <w:t xml:space="preserve"> млн. </w:t>
      </w:r>
      <w:r w:rsidR="00D827E1">
        <w:rPr>
          <w:rFonts w:ascii="Times New Roman" w:hAnsi="Times New Roman"/>
          <w:sz w:val="24"/>
          <w:szCs w:val="24"/>
        </w:rPr>
        <w:t>евро</w:t>
      </w:r>
      <w:r w:rsidR="0010347D">
        <w:rPr>
          <w:rFonts w:ascii="Times New Roman" w:hAnsi="Times New Roman"/>
          <w:sz w:val="24"/>
          <w:szCs w:val="24"/>
        </w:rPr>
        <w:t xml:space="preserve"> </w:t>
      </w:r>
      <w:r w:rsidR="00C64EF5">
        <w:rPr>
          <w:rFonts w:ascii="Times New Roman" w:hAnsi="Times New Roman"/>
          <w:sz w:val="24"/>
          <w:szCs w:val="24"/>
        </w:rPr>
        <w:t>от общия бюджет на цялата схема.</w:t>
      </w:r>
      <w:r w:rsidR="005E686B">
        <w:rPr>
          <w:rFonts w:ascii="Times New Roman" w:hAnsi="Times New Roman"/>
          <w:sz w:val="24"/>
          <w:szCs w:val="24"/>
        </w:rPr>
        <w:t xml:space="preserve"> Условието се изпълнява защото </w:t>
      </w:r>
      <w:r w:rsidR="005E686B" w:rsidRPr="00A80EBE">
        <w:rPr>
          <w:rFonts w:ascii="Times New Roman" w:hAnsi="Times New Roman"/>
          <w:iCs/>
          <w:sz w:val="24"/>
          <w:szCs w:val="24"/>
        </w:rPr>
        <w:t xml:space="preserve">максималният размер на безвъзмездна финансова помощ по всеки индивидуален проект, по процедурата </w:t>
      </w:r>
      <w:r w:rsidR="005E686B" w:rsidRPr="00A80EBE">
        <w:rPr>
          <w:rFonts w:ascii="Times New Roman" w:hAnsi="Times New Roman"/>
          <w:b/>
          <w:iCs/>
          <w:sz w:val="24"/>
          <w:szCs w:val="24"/>
        </w:rPr>
        <w:t xml:space="preserve">не може да надвишава </w:t>
      </w:r>
      <w:r w:rsidR="005E686B">
        <w:rPr>
          <w:rFonts w:ascii="Times New Roman" w:hAnsi="Times New Roman"/>
          <w:b/>
          <w:iCs/>
          <w:sz w:val="24"/>
          <w:szCs w:val="24"/>
          <w:lang w:val="en-US"/>
        </w:rPr>
        <w:t>256 000,00 евро</w:t>
      </w:r>
      <w:r w:rsidR="005E686B">
        <w:rPr>
          <w:rFonts w:ascii="Times New Roman" w:hAnsi="Times New Roman"/>
          <w:b/>
          <w:iCs/>
          <w:sz w:val="24"/>
          <w:szCs w:val="24"/>
        </w:rPr>
        <w:t>.</w:t>
      </w:r>
    </w:p>
    <w:p w14:paraId="78541BCA" w14:textId="77777777" w:rsidR="00FD4CC6" w:rsidRPr="006B4448" w:rsidRDefault="001D7149" w:rsidP="00FD4CC6">
      <w:pPr>
        <w:autoSpaceDE w:val="0"/>
        <w:autoSpaceDN w:val="0"/>
        <w:adjustRightInd w:val="0"/>
        <w:spacing w:before="120" w:after="120" w:line="240" w:lineRule="auto"/>
        <w:ind w:firstLine="567"/>
        <w:jc w:val="both"/>
        <w:rPr>
          <w:rFonts w:ascii="Times New Roman" w:hAnsi="Times New Roman"/>
          <w:sz w:val="24"/>
          <w:szCs w:val="24"/>
          <w:lang w:eastAsia="bg-BG"/>
        </w:rPr>
      </w:pPr>
      <w:r>
        <w:rPr>
          <w:rFonts w:ascii="Times New Roman" w:hAnsi="Times New Roman"/>
          <w:sz w:val="24"/>
          <w:szCs w:val="24"/>
          <w:lang w:eastAsia="bg-BG"/>
        </w:rPr>
        <w:t>С оглед на гореизложеното п</w:t>
      </w:r>
      <w:r w:rsidR="00FD4CC6" w:rsidRPr="006B4448">
        <w:rPr>
          <w:rFonts w:ascii="Times New Roman" w:hAnsi="Times New Roman"/>
          <w:sz w:val="24"/>
          <w:szCs w:val="24"/>
          <w:lang w:eastAsia="bg-BG"/>
        </w:rPr>
        <w:t xml:space="preserve">редвидените по проекта дейности, описани в </w:t>
      </w:r>
      <w:r w:rsidR="0010347D">
        <w:rPr>
          <w:rFonts w:ascii="Times New Roman" w:hAnsi="Times New Roman"/>
          <w:sz w:val="24"/>
          <w:szCs w:val="24"/>
          <w:lang w:eastAsia="bg-BG"/>
        </w:rPr>
        <w:t>проектното</w:t>
      </w:r>
      <w:r w:rsidR="00FD4CC6" w:rsidRPr="006B4448">
        <w:rPr>
          <w:rFonts w:ascii="Times New Roman" w:hAnsi="Times New Roman"/>
          <w:sz w:val="24"/>
          <w:szCs w:val="24"/>
          <w:lang w:eastAsia="bg-BG"/>
        </w:rPr>
        <w:t xml:space="preserve"> предложение </w:t>
      </w:r>
      <w:r w:rsidR="00342164">
        <w:rPr>
          <w:rFonts w:ascii="Times New Roman" w:hAnsi="Times New Roman"/>
          <w:sz w:val="24"/>
          <w:szCs w:val="24"/>
          <w:lang w:eastAsia="bg-BG"/>
        </w:rPr>
        <w:t xml:space="preserve">ще </w:t>
      </w:r>
      <w:r w:rsidR="00FD4CC6" w:rsidRPr="006B4448">
        <w:rPr>
          <w:rFonts w:ascii="Times New Roman" w:hAnsi="Times New Roman"/>
          <w:sz w:val="24"/>
          <w:szCs w:val="24"/>
          <w:lang w:eastAsia="bg-BG"/>
        </w:rPr>
        <w:t>са в съответствие с правилата по държавните помощи съгласно Регламент (ЕС) № 651/2014 на Комисията от 17 юни 2014 г./</w:t>
      </w:r>
      <w:r w:rsidR="00FD4CC6" w:rsidRPr="006B4448">
        <w:rPr>
          <w:rFonts w:ascii="Times New Roman" w:hAnsi="Times New Roman"/>
          <w:lang w:eastAsia="bg-BG"/>
        </w:rPr>
        <w:t xml:space="preserve"> </w:t>
      </w:r>
      <w:r w:rsidR="00FD4CC6" w:rsidRPr="006B4448">
        <w:rPr>
          <w:rFonts w:ascii="Times New Roman" w:hAnsi="Times New Roman"/>
          <w:sz w:val="24"/>
          <w:szCs w:val="24"/>
          <w:lang w:eastAsia="bg-BG"/>
        </w:rPr>
        <w:t>Регламент (ЕС) № 651/2014 за обявяване на някои категории помощи за съвместими с вътрешния пазар в приложение на членове 107 и 108 от Договора</w:t>
      </w:r>
      <w:r w:rsidR="00FD4CC6" w:rsidRPr="006B4448">
        <w:rPr>
          <w:rFonts w:ascii="Times New Roman" w:hAnsi="Times New Roman"/>
          <w:sz w:val="24"/>
          <w:szCs w:val="24"/>
          <w:lang w:val="en-US" w:eastAsia="bg-BG"/>
        </w:rPr>
        <w:t xml:space="preserve">, </w:t>
      </w:r>
      <w:r w:rsidR="00FD4CC6" w:rsidRPr="006B4448">
        <w:rPr>
          <w:rFonts w:ascii="Times New Roman" w:hAnsi="Times New Roman"/>
          <w:sz w:val="24"/>
          <w:szCs w:val="24"/>
          <w:lang w:eastAsia="bg-BG"/>
        </w:rPr>
        <w:t xml:space="preserve">изменен с Регламент (ЕС) 2023/1315 на Комисията от 23 юни 2023 г. (ОВ </w:t>
      </w:r>
      <w:r w:rsidR="00FD4CC6" w:rsidRPr="006B4448">
        <w:rPr>
          <w:rFonts w:ascii="Times New Roman" w:hAnsi="Times New Roman"/>
          <w:sz w:val="24"/>
          <w:szCs w:val="24"/>
          <w:lang w:val="en-US" w:eastAsia="bg-BG"/>
        </w:rPr>
        <w:t>L167/30.07.2023</w:t>
      </w:r>
      <w:r w:rsidR="00FD4CC6" w:rsidRPr="006B4448">
        <w:rPr>
          <w:rFonts w:ascii="Times New Roman" w:hAnsi="Times New Roman"/>
          <w:sz w:val="24"/>
          <w:szCs w:val="24"/>
          <w:lang w:eastAsia="bg-BG"/>
        </w:rPr>
        <w:t xml:space="preserve">), при изпълнение на всички общи условия на Глави </w:t>
      </w:r>
      <w:r w:rsidR="00FD4CC6" w:rsidRPr="006B4448">
        <w:rPr>
          <w:rFonts w:ascii="Times New Roman" w:hAnsi="Times New Roman"/>
          <w:sz w:val="24"/>
          <w:szCs w:val="24"/>
          <w:lang w:val="en-US" w:eastAsia="bg-BG"/>
        </w:rPr>
        <w:t xml:space="preserve">I </w:t>
      </w:r>
      <w:r w:rsidR="00FD4CC6" w:rsidRPr="006B4448">
        <w:rPr>
          <w:rFonts w:ascii="Times New Roman" w:hAnsi="Times New Roman"/>
          <w:sz w:val="24"/>
          <w:szCs w:val="24"/>
          <w:lang w:eastAsia="bg-BG"/>
        </w:rPr>
        <w:t xml:space="preserve">и специалните такива, заложени в чл. </w:t>
      </w:r>
      <w:r w:rsidR="003A2933">
        <w:rPr>
          <w:rFonts w:ascii="Times New Roman" w:hAnsi="Times New Roman"/>
          <w:sz w:val="24"/>
          <w:szCs w:val="24"/>
          <w:lang w:eastAsia="bg-BG"/>
        </w:rPr>
        <w:t>36а</w:t>
      </w:r>
      <w:r w:rsidR="00FD4CC6" w:rsidRPr="006B4448">
        <w:rPr>
          <w:rFonts w:ascii="Times New Roman" w:hAnsi="Times New Roman"/>
          <w:sz w:val="24"/>
          <w:szCs w:val="24"/>
          <w:lang w:eastAsia="bg-BG"/>
        </w:rPr>
        <w:t xml:space="preserve"> „</w:t>
      </w:r>
      <w:r w:rsidR="003A2933">
        <w:rPr>
          <w:rFonts w:ascii="Times New Roman" w:hAnsi="Times New Roman"/>
          <w:sz w:val="24"/>
          <w:szCs w:val="24"/>
        </w:rPr>
        <w:t>Инвестиционни помощи за инфраструктура за зареждане с електроенергия или гориво</w:t>
      </w:r>
      <w:r w:rsidR="00FD4CC6" w:rsidRPr="006B4448">
        <w:rPr>
          <w:rFonts w:ascii="Times New Roman" w:hAnsi="Times New Roman"/>
          <w:sz w:val="24"/>
          <w:szCs w:val="24"/>
          <w:lang w:eastAsia="bg-BG"/>
        </w:rPr>
        <w:t xml:space="preserve">“.  </w:t>
      </w:r>
    </w:p>
    <w:p w14:paraId="6379974F" w14:textId="77777777" w:rsidR="003A2933" w:rsidRPr="006E6BD9" w:rsidRDefault="003A2933" w:rsidP="003A2933">
      <w:pPr>
        <w:shd w:val="clear" w:color="auto" w:fill="FFFFFF" w:themeFill="background1"/>
        <w:spacing w:before="120" w:after="120" w:line="276" w:lineRule="auto"/>
        <w:jc w:val="both"/>
        <w:rPr>
          <w:rFonts w:ascii="Times New Roman" w:hAnsi="Times New Roman"/>
          <w:b/>
          <w:sz w:val="24"/>
          <w:szCs w:val="24"/>
        </w:rPr>
      </w:pPr>
      <w:r w:rsidRPr="006E6BD9">
        <w:rPr>
          <w:rFonts w:ascii="Times New Roman" w:hAnsi="Times New Roman"/>
          <w:b/>
          <w:sz w:val="24"/>
          <w:szCs w:val="24"/>
        </w:rPr>
        <w:t>За приложението на Глава I Общи разпоредби на ОРГО (</w:t>
      </w:r>
      <w:r w:rsidR="00581863" w:rsidRPr="006E6BD9">
        <w:rPr>
          <w:rFonts w:ascii="Times New Roman" w:hAnsi="Times New Roman"/>
          <w:b/>
          <w:sz w:val="24"/>
          <w:szCs w:val="24"/>
        </w:rPr>
        <w:t>Рег</w:t>
      </w:r>
      <w:r w:rsidRPr="006E6BD9">
        <w:rPr>
          <w:rFonts w:ascii="Times New Roman" w:hAnsi="Times New Roman"/>
          <w:b/>
          <w:sz w:val="24"/>
          <w:szCs w:val="24"/>
        </w:rPr>
        <w:t>ламент 651/2014</w:t>
      </w:r>
      <w:r w:rsidR="007F2E6B" w:rsidRPr="006E6BD9">
        <w:rPr>
          <w:rFonts w:ascii="Times New Roman" w:hAnsi="Times New Roman"/>
          <w:b/>
          <w:sz w:val="24"/>
          <w:szCs w:val="24"/>
        </w:rPr>
        <w:t>)</w:t>
      </w:r>
      <w:r w:rsidR="00581863" w:rsidRPr="006E6BD9">
        <w:rPr>
          <w:rFonts w:ascii="Times New Roman" w:hAnsi="Times New Roman"/>
          <w:b/>
          <w:sz w:val="24"/>
          <w:szCs w:val="24"/>
        </w:rPr>
        <w:t xml:space="preserve"> </w:t>
      </w:r>
      <w:r w:rsidRPr="006E6BD9">
        <w:rPr>
          <w:rFonts w:ascii="Times New Roman" w:hAnsi="Times New Roman"/>
          <w:b/>
          <w:sz w:val="24"/>
          <w:szCs w:val="24"/>
        </w:rPr>
        <w:t>са спазени следните предварително зададени условия, а именно:</w:t>
      </w:r>
    </w:p>
    <w:p w14:paraId="4AAE8D30" w14:textId="77777777" w:rsidR="003A2933" w:rsidRPr="007F2E6B" w:rsidRDefault="003A2933" w:rsidP="003A2933">
      <w:pPr>
        <w:shd w:val="clear" w:color="auto" w:fill="FFFFFF" w:themeFill="background1"/>
        <w:spacing w:before="120" w:after="120" w:line="276" w:lineRule="auto"/>
        <w:ind w:firstLine="709"/>
        <w:jc w:val="both"/>
        <w:rPr>
          <w:rFonts w:ascii="Times New Roman" w:hAnsi="Times New Roman"/>
          <w:b/>
          <w:sz w:val="24"/>
          <w:szCs w:val="24"/>
        </w:rPr>
      </w:pPr>
      <w:r w:rsidRPr="007F2E6B">
        <w:rPr>
          <w:rFonts w:ascii="Times New Roman" w:hAnsi="Times New Roman"/>
          <w:b/>
          <w:sz w:val="24"/>
          <w:szCs w:val="24"/>
        </w:rPr>
        <w:t>Член 1. Приложно поле</w:t>
      </w:r>
    </w:p>
    <w:p w14:paraId="256B3BF6" w14:textId="027AC53A" w:rsidR="003A2933" w:rsidRPr="007F2E6B" w:rsidRDefault="003A2933" w:rsidP="007F2E6B">
      <w:pPr>
        <w:shd w:val="clear" w:color="auto" w:fill="FFFFFF" w:themeFill="background1"/>
        <w:spacing w:before="120" w:after="120" w:line="276" w:lineRule="auto"/>
        <w:ind w:firstLine="708"/>
        <w:jc w:val="both"/>
        <w:rPr>
          <w:rFonts w:ascii="Times New Roman" w:hAnsi="Times New Roman"/>
          <w:b/>
          <w:sz w:val="24"/>
          <w:szCs w:val="24"/>
        </w:rPr>
      </w:pPr>
      <w:r w:rsidRPr="007F2E6B">
        <w:rPr>
          <w:rFonts w:ascii="Times New Roman" w:hAnsi="Times New Roman"/>
          <w:b/>
          <w:sz w:val="24"/>
          <w:szCs w:val="24"/>
        </w:rPr>
        <w:t xml:space="preserve">Дейностите по </w:t>
      </w:r>
      <w:r w:rsidR="004238F3" w:rsidRPr="007F2E6B">
        <w:rPr>
          <w:rFonts w:ascii="Times New Roman" w:hAnsi="Times New Roman"/>
          <w:b/>
          <w:sz w:val="24"/>
          <w:szCs w:val="24"/>
        </w:rPr>
        <w:t>про</w:t>
      </w:r>
      <w:r w:rsidR="004238F3">
        <w:rPr>
          <w:rFonts w:ascii="Times New Roman" w:hAnsi="Times New Roman"/>
          <w:b/>
          <w:sz w:val="24"/>
          <w:szCs w:val="24"/>
        </w:rPr>
        <w:t>цедурата</w:t>
      </w:r>
      <w:r w:rsidR="004238F3" w:rsidRPr="007F2E6B">
        <w:rPr>
          <w:rFonts w:ascii="Times New Roman" w:hAnsi="Times New Roman"/>
          <w:b/>
          <w:sz w:val="24"/>
          <w:szCs w:val="24"/>
        </w:rPr>
        <w:t xml:space="preserve"> </w:t>
      </w:r>
      <w:r w:rsidRPr="007F2E6B">
        <w:rPr>
          <w:rFonts w:ascii="Times New Roman" w:hAnsi="Times New Roman"/>
          <w:b/>
          <w:sz w:val="24"/>
          <w:szCs w:val="24"/>
        </w:rPr>
        <w:t xml:space="preserve">попадат в обхвата на чл.1, параграф </w:t>
      </w:r>
      <w:r w:rsidR="00581863" w:rsidRPr="007F2E6B">
        <w:rPr>
          <w:rFonts w:ascii="Times New Roman" w:hAnsi="Times New Roman"/>
          <w:b/>
          <w:sz w:val="24"/>
          <w:szCs w:val="24"/>
        </w:rPr>
        <w:t>1</w:t>
      </w:r>
      <w:r w:rsidRPr="007F2E6B">
        <w:rPr>
          <w:rFonts w:ascii="Times New Roman" w:hAnsi="Times New Roman"/>
          <w:b/>
          <w:sz w:val="24"/>
          <w:szCs w:val="24"/>
        </w:rPr>
        <w:t xml:space="preserve"> – категории помощи за които се прилага ОРГО. </w:t>
      </w:r>
    </w:p>
    <w:p w14:paraId="1DE817D3" w14:textId="2DE2C110" w:rsidR="003A2933" w:rsidRDefault="003A2933" w:rsidP="003A2933">
      <w:pPr>
        <w:shd w:val="clear" w:color="auto" w:fill="FFFFFF" w:themeFill="background1"/>
        <w:spacing w:before="120" w:after="120" w:line="276" w:lineRule="auto"/>
        <w:ind w:firstLine="709"/>
        <w:jc w:val="both"/>
        <w:rPr>
          <w:rFonts w:ascii="Times New Roman" w:hAnsi="Times New Roman"/>
          <w:sz w:val="24"/>
          <w:szCs w:val="24"/>
        </w:rPr>
      </w:pPr>
      <w:r w:rsidRPr="007F2E6B">
        <w:rPr>
          <w:rFonts w:ascii="Times New Roman" w:hAnsi="Times New Roman"/>
          <w:sz w:val="24"/>
          <w:szCs w:val="24"/>
        </w:rPr>
        <w:t xml:space="preserve">Предвид дейностите по </w:t>
      </w:r>
      <w:r w:rsidR="004238F3" w:rsidRPr="007F2E6B">
        <w:rPr>
          <w:rFonts w:ascii="Times New Roman" w:hAnsi="Times New Roman"/>
          <w:sz w:val="24"/>
          <w:szCs w:val="24"/>
        </w:rPr>
        <w:t>про</w:t>
      </w:r>
      <w:r w:rsidR="004238F3">
        <w:rPr>
          <w:rFonts w:ascii="Times New Roman" w:hAnsi="Times New Roman"/>
          <w:sz w:val="24"/>
          <w:szCs w:val="24"/>
        </w:rPr>
        <w:t>цедурата</w:t>
      </w:r>
      <w:r w:rsidRPr="007F2E6B">
        <w:rPr>
          <w:rFonts w:ascii="Times New Roman" w:hAnsi="Times New Roman"/>
          <w:sz w:val="24"/>
          <w:szCs w:val="24"/>
        </w:rPr>
        <w:t xml:space="preserve">, финансирането на </w:t>
      </w:r>
      <w:r w:rsidR="004238F3" w:rsidRPr="007F2E6B">
        <w:rPr>
          <w:rFonts w:ascii="Times New Roman" w:hAnsi="Times New Roman"/>
          <w:sz w:val="24"/>
          <w:szCs w:val="24"/>
        </w:rPr>
        <w:t>проект</w:t>
      </w:r>
      <w:r w:rsidR="004238F3">
        <w:rPr>
          <w:rFonts w:ascii="Times New Roman" w:hAnsi="Times New Roman"/>
          <w:sz w:val="24"/>
          <w:szCs w:val="24"/>
        </w:rPr>
        <w:t>ите</w:t>
      </w:r>
      <w:r w:rsidR="004238F3" w:rsidRPr="007F2E6B">
        <w:rPr>
          <w:rFonts w:ascii="Times New Roman" w:hAnsi="Times New Roman"/>
          <w:sz w:val="24"/>
          <w:szCs w:val="24"/>
        </w:rPr>
        <w:t xml:space="preserve"> </w:t>
      </w:r>
      <w:r w:rsidRPr="007F2E6B">
        <w:rPr>
          <w:rFonts w:ascii="Times New Roman" w:hAnsi="Times New Roman"/>
          <w:sz w:val="24"/>
          <w:szCs w:val="24"/>
        </w:rPr>
        <w:t xml:space="preserve">попада в приложното поле на ОРГО под категория </w:t>
      </w:r>
      <w:r w:rsidRPr="007F2E6B">
        <w:rPr>
          <w:rFonts w:ascii="Times New Roman" w:hAnsi="Times New Roman"/>
          <w:b/>
          <w:sz w:val="24"/>
          <w:szCs w:val="24"/>
        </w:rPr>
        <w:t>„</w:t>
      </w:r>
      <w:r w:rsidR="00581863" w:rsidRPr="007F2E6B">
        <w:rPr>
          <w:rFonts w:ascii="Times New Roman" w:hAnsi="Times New Roman"/>
          <w:b/>
          <w:sz w:val="24"/>
          <w:szCs w:val="24"/>
        </w:rPr>
        <w:t>в</w:t>
      </w:r>
      <w:r w:rsidRPr="007F2E6B">
        <w:rPr>
          <w:rFonts w:ascii="Times New Roman" w:hAnsi="Times New Roman"/>
          <w:b/>
          <w:sz w:val="24"/>
          <w:szCs w:val="24"/>
        </w:rPr>
        <w:t>) помощи за</w:t>
      </w:r>
      <w:r w:rsidR="00581863" w:rsidRPr="007F2E6B">
        <w:rPr>
          <w:rFonts w:ascii="Times New Roman" w:hAnsi="Times New Roman"/>
          <w:b/>
          <w:sz w:val="24"/>
          <w:szCs w:val="24"/>
        </w:rPr>
        <w:t xml:space="preserve"> опазване</w:t>
      </w:r>
      <w:r w:rsidRPr="007F2E6B">
        <w:rPr>
          <w:rFonts w:ascii="Times New Roman" w:hAnsi="Times New Roman"/>
          <w:b/>
          <w:sz w:val="24"/>
          <w:szCs w:val="24"/>
        </w:rPr>
        <w:t xml:space="preserve"> </w:t>
      </w:r>
      <w:r w:rsidR="00581863" w:rsidRPr="007F2E6B">
        <w:rPr>
          <w:rFonts w:ascii="Times New Roman" w:hAnsi="Times New Roman"/>
          <w:b/>
          <w:sz w:val="24"/>
          <w:szCs w:val="24"/>
        </w:rPr>
        <w:t>околната среда</w:t>
      </w:r>
      <w:r w:rsidRPr="007F2E6B">
        <w:rPr>
          <w:rFonts w:ascii="Times New Roman" w:hAnsi="Times New Roman"/>
          <w:b/>
          <w:sz w:val="24"/>
          <w:szCs w:val="24"/>
        </w:rPr>
        <w:t>“</w:t>
      </w:r>
      <w:r w:rsidRPr="007F2E6B">
        <w:rPr>
          <w:rFonts w:ascii="Times New Roman" w:hAnsi="Times New Roman"/>
          <w:sz w:val="24"/>
          <w:szCs w:val="24"/>
        </w:rPr>
        <w:t xml:space="preserve"> от чл. 1, параграф 1</w:t>
      </w:r>
      <w:r w:rsidR="00581863" w:rsidRPr="007F2E6B">
        <w:rPr>
          <w:rFonts w:ascii="Times New Roman" w:hAnsi="Times New Roman"/>
          <w:sz w:val="24"/>
          <w:szCs w:val="24"/>
        </w:rPr>
        <w:t>,</w:t>
      </w:r>
      <w:r w:rsidR="0064362D">
        <w:rPr>
          <w:rFonts w:ascii="Times New Roman" w:hAnsi="Times New Roman"/>
          <w:sz w:val="24"/>
          <w:szCs w:val="24"/>
        </w:rPr>
        <w:t xml:space="preserve"> б „в“,</w:t>
      </w:r>
      <w:r w:rsidRPr="007F2E6B">
        <w:rPr>
          <w:rFonts w:ascii="Times New Roman" w:hAnsi="Times New Roman"/>
          <w:sz w:val="24"/>
          <w:szCs w:val="24"/>
        </w:rPr>
        <w:t xml:space="preserve"> на същия регламент.</w:t>
      </w:r>
    </w:p>
    <w:p w14:paraId="6BE6A9C1" w14:textId="157BB8ED" w:rsidR="0064362D" w:rsidRPr="007F2E6B" w:rsidRDefault="0064362D" w:rsidP="003A2933">
      <w:pPr>
        <w:shd w:val="clear" w:color="auto" w:fill="FFFFFF" w:themeFill="background1"/>
        <w:spacing w:before="120" w:after="120" w:line="276" w:lineRule="auto"/>
        <w:ind w:firstLine="709"/>
        <w:jc w:val="both"/>
        <w:rPr>
          <w:rFonts w:ascii="Times New Roman" w:hAnsi="Times New Roman"/>
          <w:sz w:val="24"/>
          <w:szCs w:val="24"/>
        </w:rPr>
      </w:pPr>
      <w:r>
        <w:rPr>
          <w:rFonts w:ascii="Times New Roman" w:hAnsi="Times New Roman"/>
          <w:sz w:val="24"/>
          <w:szCs w:val="24"/>
        </w:rPr>
        <w:t>Общият размер на държавната помощ е извън обхвата на параграф 2</w:t>
      </w:r>
      <w:r w:rsidR="009F19CA">
        <w:rPr>
          <w:rFonts w:ascii="Times New Roman" w:hAnsi="Times New Roman"/>
          <w:sz w:val="24"/>
          <w:szCs w:val="24"/>
        </w:rPr>
        <w:t xml:space="preserve"> – </w:t>
      </w:r>
      <w:r w:rsidR="008E1BF5" w:rsidRPr="008E1BF5">
        <w:rPr>
          <w:rFonts w:ascii="Times New Roman" w:hAnsi="Times New Roman"/>
          <w:sz w:val="24"/>
          <w:szCs w:val="24"/>
        </w:rPr>
        <w:t xml:space="preserve">10 012 303,45 </w:t>
      </w:r>
      <w:r w:rsidR="002A0502" w:rsidRPr="002A0502">
        <w:rPr>
          <w:rFonts w:ascii="Times New Roman" w:hAnsi="Times New Roman"/>
          <w:sz w:val="24"/>
          <w:szCs w:val="24"/>
        </w:rPr>
        <w:t>евро</w:t>
      </w:r>
      <w:r w:rsidR="002A0502" w:rsidRPr="002A0502" w:rsidDel="00730835">
        <w:rPr>
          <w:rFonts w:ascii="Times New Roman" w:hAnsi="Times New Roman"/>
          <w:sz w:val="24"/>
          <w:szCs w:val="24"/>
        </w:rPr>
        <w:t xml:space="preserve"> </w:t>
      </w:r>
      <w:r w:rsidR="009F19CA">
        <w:rPr>
          <w:rFonts w:ascii="Times New Roman" w:hAnsi="Times New Roman"/>
          <w:sz w:val="24"/>
          <w:szCs w:val="24"/>
        </w:rPr>
        <w:t>и не попада в ограниченията на същия параграф.</w:t>
      </w:r>
    </w:p>
    <w:p w14:paraId="0B0B427C" w14:textId="77777777" w:rsidR="00FD4CC6" w:rsidRPr="006B4448" w:rsidRDefault="00FD4CC6" w:rsidP="00FD4CC6">
      <w:pPr>
        <w:autoSpaceDE w:val="0"/>
        <w:autoSpaceDN w:val="0"/>
        <w:adjustRightInd w:val="0"/>
        <w:spacing w:before="120" w:after="120" w:line="240" w:lineRule="auto"/>
        <w:ind w:firstLine="708"/>
        <w:jc w:val="both"/>
        <w:rPr>
          <w:rFonts w:ascii="Times New Roman" w:hAnsi="Times New Roman"/>
          <w:sz w:val="24"/>
          <w:szCs w:val="24"/>
          <w:lang w:eastAsia="bg-BG"/>
        </w:rPr>
      </w:pPr>
      <w:r w:rsidRPr="006B4448">
        <w:rPr>
          <w:rFonts w:ascii="Times New Roman" w:hAnsi="Times New Roman"/>
          <w:sz w:val="24"/>
          <w:szCs w:val="24"/>
          <w:lang w:eastAsia="bg-BG"/>
        </w:rPr>
        <w:t xml:space="preserve">Съгласно </w:t>
      </w:r>
      <w:r w:rsidRPr="006B4448">
        <w:rPr>
          <w:rFonts w:ascii="Times New Roman" w:hAnsi="Times New Roman"/>
          <w:b/>
          <w:sz w:val="24"/>
          <w:szCs w:val="24"/>
          <w:lang w:eastAsia="bg-BG"/>
        </w:rPr>
        <w:t>пар</w:t>
      </w:r>
      <w:r w:rsidR="005B7A87">
        <w:rPr>
          <w:rFonts w:ascii="Times New Roman" w:hAnsi="Times New Roman"/>
          <w:b/>
          <w:sz w:val="24"/>
          <w:szCs w:val="24"/>
          <w:lang w:eastAsia="bg-BG"/>
        </w:rPr>
        <w:t>аграф</w:t>
      </w:r>
      <w:r>
        <w:rPr>
          <w:rFonts w:ascii="Times New Roman" w:hAnsi="Times New Roman"/>
          <w:b/>
          <w:sz w:val="24"/>
          <w:szCs w:val="24"/>
          <w:lang w:eastAsia="bg-BG"/>
        </w:rPr>
        <w:t xml:space="preserve"> </w:t>
      </w:r>
      <w:r w:rsidRPr="006B4448">
        <w:rPr>
          <w:rFonts w:ascii="Times New Roman" w:hAnsi="Times New Roman"/>
          <w:b/>
          <w:sz w:val="24"/>
          <w:szCs w:val="24"/>
          <w:lang w:eastAsia="bg-BG"/>
        </w:rPr>
        <w:t>3</w:t>
      </w:r>
      <w:r w:rsidRPr="006B4448">
        <w:rPr>
          <w:rFonts w:ascii="Times New Roman" w:hAnsi="Times New Roman"/>
          <w:sz w:val="24"/>
          <w:szCs w:val="24"/>
          <w:lang w:eastAsia="bg-BG"/>
        </w:rPr>
        <w:t xml:space="preserve"> - кандидатът не може да получи безвъзмездна финансова помощ, в случай че попада в забранителните режими на Регламент (ЕС) № 651/2014 и по-конкретно ако: </w:t>
      </w:r>
    </w:p>
    <w:p w14:paraId="4A023BC7" w14:textId="77777777" w:rsidR="00FD4CC6" w:rsidRPr="00FF6A19" w:rsidRDefault="00FD4CC6" w:rsidP="00CD09A0">
      <w:pPr>
        <w:numPr>
          <w:ilvl w:val="0"/>
          <w:numId w:val="5"/>
        </w:numPr>
        <w:autoSpaceDE w:val="0"/>
        <w:autoSpaceDN w:val="0"/>
        <w:adjustRightInd w:val="0"/>
        <w:spacing w:before="120" w:after="120" w:line="240" w:lineRule="auto"/>
        <w:ind w:left="851" w:hanging="425"/>
        <w:jc w:val="both"/>
        <w:rPr>
          <w:rFonts w:ascii="Times New Roman" w:hAnsi="Times New Roman"/>
          <w:sz w:val="24"/>
          <w:szCs w:val="24"/>
          <w:lang w:eastAsia="bg-BG"/>
        </w:rPr>
      </w:pPr>
      <w:r w:rsidRPr="00954DB6">
        <w:rPr>
          <w:rFonts w:ascii="Times New Roman" w:hAnsi="Times New Roman"/>
          <w:sz w:val="24"/>
          <w:szCs w:val="24"/>
          <w:lang w:eastAsia="bg-BG"/>
        </w:rPr>
        <w:t>Основната икономическа дейност на кандидата попада в</w:t>
      </w:r>
      <w:r w:rsidRPr="00FF6A19">
        <w:rPr>
          <w:rFonts w:ascii="Times New Roman" w:hAnsi="Times New Roman"/>
          <w:sz w:val="24"/>
          <w:szCs w:val="24"/>
          <w:lang w:eastAsia="bg-BG"/>
        </w:rPr>
        <w:t>:</w:t>
      </w:r>
    </w:p>
    <w:p w14:paraId="52BC2BFD" w14:textId="2389AC85" w:rsidR="00FD4CC6" w:rsidRPr="001220BD" w:rsidRDefault="00FD4CC6" w:rsidP="001220BD">
      <w:pPr>
        <w:pStyle w:val="ListParagraph"/>
        <w:numPr>
          <w:ilvl w:val="3"/>
          <w:numId w:val="13"/>
        </w:numPr>
        <w:tabs>
          <w:tab w:val="left" w:pos="1134"/>
        </w:tabs>
        <w:autoSpaceDE w:val="0"/>
        <w:autoSpaceDN w:val="0"/>
        <w:adjustRightInd w:val="0"/>
        <w:spacing w:before="120" w:after="120" w:line="240" w:lineRule="auto"/>
        <w:ind w:left="1418" w:hanging="567"/>
        <w:jc w:val="both"/>
        <w:rPr>
          <w:rFonts w:ascii="Times New Roman" w:hAnsi="Times New Roman"/>
          <w:sz w:val="24"/>
          <w:szCs w:val="24"/>
          <w:lang w:eastAsia="bg-BG"/>
        </w:rPr>
      </w:pPr>
      <w:r w:rsidRPr="001220BD">
        <w:rPr>
          <w:rFonts w:ascii="Times New Roman" w:hAnsi="Times New Roman"/>
          <w:sz w:val="24"/>
          <w:szCs w:val="24"/>
          <w:lang w:eastAsia="bg-BG"/>
        </w:rPr>
        <w:t>сектора на рибарството и аквакултурите, обхванати от Регламент (ЕС) № 1379/2013;</w:t>
      </w:r>
    </w:p>
    <w:p w14:paraId="7F1BAFCA" w14:textId="73AC3B9C" w:rsidR="00B9169F" w:rsidRDefault="00FD4CC6" w:rsidP="001220BD">
      <w:pPr>
        <w:pStyle w:val="ListParagraph"/>
        <w:numPr>
          <w:ilvl w:val="0"/>
          <w:numId w:val="13"/>
        </w:numPr>
        <w:tabs>
          <w:tab w:val="left" w:pos="1134"/>
        </w:tabs>
        <w:autoSpaceDE w:val="0"/>
        <w:autoSpaceDN w:val="0"/>
        <w:adjustRightInd w:val="0"/>
        <w:spacing w:before="120" w:after="120" w:line="240" w:lineRule="auto"/>
        <w:ind w:left="0" w:firstLine="851"/>
        <w:jc w:val="both"/>
        <w:rPr>
          <w:rFonts w:ascii="Times New Roman" w:hAnsi="Times New Roman"/>
          <w:sz w:val="24"/>
          <w:szCs w:val="24"/>
          <w:lang w:eastAsia="bg-BG"/>
        </w:rPr>
      </w:pPr>
      <w:r w:rsidRPr="006B4448">
        <w:rPr>
          <w:rFonts w:ascii="Times New Roman" w:hAnsi="Times New Roman"/>
          <w:sz w:val="24"/>
          <w:szCs w:val="24"/>
          <w:lang w:eastAsia="bg-BG"/>
        </w:rPr>
        <w:t>сектора на първично производство на селскостопански продукти;</w:t>
      </w:r>
    </w:p>
    <w:p w14:paraId="7FCF05F7" w14:textId="0842A0B3" w:rsidR="00FD4CC6" w:rsidRPr="00B9169F" w:rsidRDefault="00FD4CC6" w:rsidP="001220BD">
      <w:pPr>
        <w:pStyle w:val="ListParagraph"/>
        <w:numPr>
          <w:ilvl w:val="0"/>
          <w:numId w:val="13"/>
        </w:numPr>
        <w:tabs>
          <w:tab w:val="left" w:pos="1134"/>
        </w:tabs>
        <w:autoSpaceDE w:val="0"/>
        <w:autoSpaceDN w:val="0"/>
        <w:adjustRightInd w:val="0"/>
        <w:spacing w:before="120" w:after="120" w:line="240" w:lineRule="auto"/>
        <w:ind w:left="0" w:firstLine="851"/>
        <w:jc w:val="both"/>
        <w:rPr>
          <w:rFonts w:ascii="Times New Roman" w:hAnsi="Times New Roman"/>
          <w:sz w:val="24"/>
          <w:szCs w:val="24"/>
          <w:lang w:eastAsia="bg-BG"/>
        </w:rPr>
      </w:pPr>
      <w:r w:rsidRPr="00B9169F">
        <w:rPr>
          <w:rFonts w:ascii="Times New Roman" w:hAnsi="Times New Roman"/>
          <w:sz w:val="24"/>
          <w:szCs w:val="24"/>
          <w:lang w:eastAsia="bg-BG"/>
        </w:rPr>
        <w:lastRenderedPageBreak/>
        <w:t>сектора на преработка и продажба на селскостопански продукти, в следните случаи:</w:t>
      </w:r>
    </w:p>
    <w:p w14:paraId="4424D0E3" w14:textId="77777777" w:rsidR="00FD4CC6" w:rsidRPr="006B4448" w:rsidRDefault="00FD4CC6" w:rsidP="00B9169F">
      <w:pPr>
        <w:autoSpaceDE w:val="0"/>
        <w:autoSpaceDN w:val="0"/>
        <w:adjustRightInd w:val="0"/>
        <w:spacing w:before="120" w:after="120" w:line="240" w:lineRule="auto"/>
        <w:ind w:firstLine="993"/>
        <w:jc w:val="both"/>
        <w:rPr>
          <w:rFonts w:ascii="Times New Roman" w:hAnsi="Times New Roman"/>
          <w:sz w:val="24"/>
          <w:szCs w:val="24"/>
          <w:lang w:eastAsia="bg-BG"/>
        </w:rPr>
      </w:pPr>
      <w:r w:rsidRPr="006B4448">
        <w:rPr>
          <w:rFonts w:ascii="Times New Roman" w:hAnsi="Times New Roman"/>
          <w:sz w:val="24"/>
          <w:szCs w:val="24"/>
          <w:lang w:eastAsia="bg-BG"/>
        </w:rPr>
        <w:t xml:space="preserve">- </w:t>
      </w:r>
      <w:r w:rsidR="00CD09A0">
        <w:rPr>
          <w:rFonts w:ascii="Times New Roman" w:hAnsi="Times New Roman"/>
          <w:sz w:val="24"/>
          <w:szCs w:val="24"/>
          <w:lang w:eastAsia="bg-BG"/>
        </w:rPr>
        <w:t>к</w:t>
      </w:r>
      <w:r w:rsidRPr="006B4448">
        <w:rPr>
          <w:rFonts w:ascii="Times New Roman" w:hAnsi="Times New Roman"/>
          <w:sz w:val="24"/>
          <w:szCs w:val="24"/>
          <w:lang w:eastAsia="bg-BG"/>
        </w:rPr>
        <w:t>огато размерът на помощта е определен въз основа на цената или количеството на тези продукти, които се изкупуват от първичните производители или се предлагат на пазара от съответните предприятия; или</w:t>
      </w:r>
    </w:p>
    <w:p w14:paraId="536E6D8E" w14:textId="77777777" w:rsidR="00FD4CC6" w:rsidRPr="006B4448" w:rsidRDefault="00CD09A0" w:rsidP="00B9169F">
      <w:pPr>
        <w:autoSpaceDE w:val="0"/>
        <w:autoSpaceDN w:val="0"/>
        <w:adjustRightInd w:val="0"/>
        <w:spacing w:before="120" w:after="120" w:line="240" w:lineRule="auto"/>
        <w:ind w:firstLine="993"/>
        <w:jc w:val="both"/>
        <w:rPr>
          <w:rFonts w:ascii="Times New Roman" w:hAnsi="Times New Roman"/>
          <w:sz w:val="24"/>
          <w:szCs w:val="24"/>
          <w:lang w:eastAsia="bg-BG"/>
        </w:rPr>
      </w:pPr>
      <w:r>
        <w:rPr>
          <w:rFonts w:ascii="Times New Roman" w:hAnsi="Times New Roman"/>
          <w:sz w:val="24"/>
          <w:szCs w:val="24"/>
          <w:lang w:eastAsia="bg-BG"/>
        </w:rPr>
        <w:t>- к</w:t>
      </w:r>
      <w:r w:rsidR="00FD4CC6" w:rsidRPr="006B4448">
        <w:rPr>
          <w:rFonts w:ascii="Times New Roman" w:hAnsi="Times New Roman"/>
          <w:sz w:val="24"/>
          <w:szCs w:val="24"/>
          <w:lang w:eastAsia="bg-BG"/>
        </w:rPr>
        <w:t>огато помощта е обвързана със задължението да бъде прехвърлена частично или изцяло на първичните производители;</w:t>
      </w:r>
    </w:p>
    <w:p w14:paraId="4E6DB94D" w14:textId="77777777" w:rsidR="00FD4CC6" w:rsidRPr="00CD09A0" w:rsidRDefault="00CD09A0" w:rsidP="001220BD">
      <w:pPr>
        <w:pStyle w:val="ListParagraph"/>
        <w:numPr>
          <w:ilvl w:val="0"/>
          <w:numId w:val="13"/>
        </w:numPr>
        <w:tabs>
          <w:tab w:val="left" w:pos="1134"/>
        </w:tabs>
        <w:autoSpaceDE w:val="0"/>
        <w:autoSpaceDN w:val="0"/>
        <w:adjustRightInd w:val="0"/>
        <w:spacing w:before="120" w:after="120" w:line="240" w:lineRule="auto"/>
        <w:ind w:left="0" w:firstLine="851"/>
        <w:jc w:val="both"/>
        <w:rPr>
          <w:rFonts w:ascii="Times New Roman" w:hAnsi="Times New Roman"/>
          <w:sz w:val="24"/>
          <w:szCs w:val="24"/>
          <w:lang w:eastAsia="bg-BG"/>
        </w:rPr>
      </w:pPr>
      <w:r>
        <w:rPr>
          <w:rFonts w:ascii="Times New Roman" w:hAnsi="Times New Roman"/>
          <w:sz w:val="24"/>
          <w:szCs w:val="24"/>
          <w:lang w:eastAsia="bg-BG"/>
        </w:rPr>
        <w:t>п</w:t>
      </w:r>
      <w:r w:rsidR="00FD4CC6" w:rsidRPr="00CD09A0">
        <w:rPr>
          <w:rFonts w:ascii="Times New Roman" w:hAnsi="Times New Roman"/>
          <w:sz w:val="24"/>
          <w:szCs w:val="24"/>
          <w:lang w:eastAsia="bg-BG"/>
        </w:rPr>
        <w:t>омощи за улесняване на закриването на неконкурентоспособни въглищни мини в съответствие с Решение 2010/787/ЕС на Съвета.</w:t>
      </w:r>
    </w:p>
    <w:p w14:paraId="626A9B35" w14:textId="77777777" w:rsidR="00FD4CC6" w:rsidRPr="006B4448" w:rsidRDefault="00FD4CC6" w:rsidP="00FD4CC6">
      <w:pPr>
        <w:autoSpaceDE w:val="0"/>
        <w:autoSpaceDN w:val="0"/>
        <w:adjustRightInd w:val="0"/>
        <w:spacing w:before="120" w:after="120" w:line="240" w:lineRule="auto"/>
        <w:ind w:firstLine="708"/>
        <w:jc w:val="both"/>
        <w:rPr>
          <w:rFonts w:ascii="Times New Roman" w:hAnsi="Times New Roman"/>
          <w:sz w:val="24"/>
          <w:szCs w:val="24"/>
          <w:lang w:eastAsia="bg-BG"/>
        </w:rPr>
      </w:pPr>
      <w:r w:rsidRPr="006B4448">
        <w:rPr>
          <w:rFonts w:ascii="Times New Roman" w:hAnsi="Times New Roman"/>
          <w:sz w:val="24"/>
          <w:szCs w:val="24"/>
          <w:lang w:eastAsia="bg-BG"/>
        </w:rPr>
        <w:t>Съгласно чл.</w:t>
      </w:r>
      <w:r w:rsidR="00CD09A0">
        <w:rPr>
          <w:rFonts w:ascii="Times New Roman" w:hAnsi="Times New Roman"/>
          <w:sz w:val="24"/>
          <w:szCs w:val="24"/>
          <w:lang w:eastAsia="bg-BG"/>
        </w:rPr>
        <w:t xml:space="preserve"> </w:t>
      </w:r>
      <w:r w:rsidRPr="006B4448">
        <w:rPr>
          <w:rFonts w:ascii="Times New Roman" w:hAnsi="Times New Roman"/>
          <w:sz w:val="24"/>
          <w:szCs w:val="24"/>
          <w:lang w:eastAsia="bg-BG"/>
        </w:rPr>
        <w:t xml:space="preserve">1, </w:t>
      </w:r>
      <w:r w:rsidRPr="006B4448">
        <w:rPr>
          <w:rFonts w:ascii="Times New Roman" w:hAnsi="Times New Roman"/>
          <w:b/>
          <w:sz w:val="24"/>
          <w:szCs w:val="24"/>
          <w:lang w:eastAsia="bg-BG"/>
        </w:rPr>
        <w:t>пар. 4</w:t>
      </w:r>
      <w:r w:rsidRPr="006B4448">
        <w:rPr>
          <w:rFonts w:ascii="Times New Roman" w:hAnsi="Times New Roman"/>
          <w:sz w:val="24"/>
          <w:szCs w:val="24"/>
          <w:lang w:eastAsia="bg-BG"/>
        </w:rPr>
        <w:t>, б.</w:t>
      </w:r>
      <w:r w:rsidR="00B75204">
        <w:rPr>
          <w:rFonts w:ascii="Times New Roman" w:hAnsi="Times New Roman"/>
          <w:sz w:val="24"/>
          <w:szCs w:val="24"/>
          <w:lang w:eastAsia="bg-BG"/>
        </w:rPr>
        <w:t xml:space="preserve"> </w:t>
      </w:r>
      <w:r w:rsidRPr="006B4448">
        <w:rPr>
          <w:rFonts w:ascii="Times New Roman" w:hAnsi="Times New Roman"/>
          <w:sz w:val="24"/>
          <w:szCs w:val="24"/>
          <w:lang w:eastAsia="bg-BG"/>
        </w:rPr>
        <w:t xml:space="preserve">“а“ от Регламент (ЕС) № 651/2014, включително и помощи </w:t>
      </w:r>
      <w:r w:rsidRPr="006B4448">
        <w:rPr>
          <w:rFonts w:ascii="Times New Roman" w:hAnsi="Times New Roman"/>
          <w:sz w:val="24"/>
          <w:szCs w:val="24"/>
          <w:lang w:val="en-US" w:eastAsia="bg-BG"/>
        </w:rPr>
        <w:t xml:space="preserve">ad hoc </w:t>
      </w:r>
      <w:r w:rsidRPr="006B4448">
        <w:rPr>
          <w:rFonts w:ascii="Times New Roman" w:hAnsi="Times New Roman"/>
          <w:sz w:val="24"/>
          <w:szCs w:val="24"/>
          <w:lang w:eastAsia="bg-BG"/>
        </w:rPr>
        <w:t>в подкрепа на предприятие, кандидатът не може да получи безвъзмездна финансова помощ, в случай че е обект на неизпълнено разпореждане за възстановяване вследствие на предходно решение на Европейската комисията, с което дадена помощ се обявява за незаконосъобразна и несъвместима с общия пазар.</w:t>
      </w:r>
    </w:p>
    <w:p w14:paraId="2ED13119" w14:textId="77777777" w:rsidR="00FD4CC6" w:rsidRPr="006B4448" w:rsidRDefault="00FD4CC6" w:rsidP="00FD4CC6">
      <w:pPr>
        <w:autoSpaceDE w:val="0"/>
        <w:autoSpaceDN w:val="0"/>
        <w:adjustRightInd w:val="0"/>
        <w:spacing w:before="120" w:after="120" w:line="240" w:lineRule="auto"/>
        <w:ind w:firstLine="708"/>
        <w:jc w:val="both"/>
        <w:rPr>
          <w:rFonts w:ascii="Times New Roman" w:hAnsi="Times New Roman"/>
          <w:sz w:val="24"/>
          <w:szCs w:val="24"/>
          <w:lang w:eastAsia="bg-BG"/>
        </w:rPr>
      </w:pPr>
      <w:r w:rsidRPr="006B4448">
        <w:rPr>
          <w:rFonts w:ascii="Times New Roman" w:hAnsi="Times New Roman"/>
          <w:sz w:val="24"/>
          <w:szCs w:val="24"/>
          <w:lang w:eastAsia="bg-BG"/>
        </w:rPr>
        <w:t xml:space="preserve">Предвид това, </w:t>
      </w:r>
      <w:r w:rsidRPr="00B9135B">
        <w:rPr>
          <w:rFonts w:ascii="Times New Roman" w:hAnsi="Times New Roman"/>
          <w:b/>
          <w:sz w:val="24"/>
          <w:szCs w:val="24"/>
          <w:lang w:eastAsia="bg-BG"/>
        </w:rPr>
        <w:t>преди сключване на административния договор</w:t>
      </w:r>
      <w:r w:rsidRPr="00B9135B">
        <w:rPr>
          <w:rFonts w:ascii="Times New Roman" w:hAnsi="Times New Roman"/>
          <w:sz w:val="24"/>
          <w:szCs w:val="24"/>
          <w:lang w:eastAsia="bg-BG"/>
        </w:rPr>
        <w:t>,</w:t>
      </w:r>
      <w:r w:rsidRPr="006B4448">
        <w:rPr>
          <w:rFonts w:ascii="Times New Roman" w:hAnsi="Times New Roman"/>
          <w:sz w:val="24"/>
          <w:szCs w:val="24"/>
          <w:lang w:eastAsia="bg-BG"/>
        </w:rPr>
        <w:t xml:space="preserve"> </w:t>
      </w:r>
      <w:r w:rsidRPr="006B4448">
        <w:rPr>
          <w:rFonts w:ascii="Times New Roman" w:hAnsi="Times New Roman"/>
          <w:i/>
          <w:sz w:val="24"/>
          <w:szCs w:val="24"/>
          <w:lang w:eastAsia="bg-BG"/>
        </w:rPr>
        <w:t xml:space="preserve">Управляващият орган ще извърши проверка на декларираното обстоятелство, касаещо неизпълнено разпореждане за възстановяване вследствие на предходно решение на Европейската комисията, с което дадена помощ се обявява за незаконосъобразна и несъвместима с общия пазар. </w:t>
      </w:r>
      <w:r w:rsidRPr="006B4448">
        <w:rPr>
          <w:rFonts w:ascii="Times New Roman" w:hAnsi="Times New Roman"/>
          <w:sz w:val="24"/>
          <w:szCs w:val="24"/>
          <w:lang w:eastAsia="bg-BG"/>
        </w:rPr>
        <w:t xml:space="preserve">Проверката е на база информация в Публичния регистър на ЕК - http://ec.europa.eu/competition/elojade/isef/index.cfm?clear=1&amp;policy_area_id=3): проверка по вид решение – отрицателно решение с възстановяване, както и в националния регистър - https://stateaid.minfin.bg/bg/483 </w:t>
      </w:r>
    </w:p>
    <w:p w14:paraId="2A5554B0" w14:textId="42C61944" w:rsidR="00FD4CC6" w:rsidRPr="006B4448" w:rsidRDefault="00FD4CC6" w:rsidP="00FD4CC6">
      <w:pPr>
        <w:autoSpaceDE w:val="0"/>
        <w:autoSpaceDN w:val="0"/>
        <w:adjustRightInd w:val="0"/>
        <w:spacing w:before="120" w:after="120" w:line="240" w:lineRule="auto"/>
        <w:ind w:firstLine="708"/>
        <w:jc w:val="both"/>
        <w:rPr>
          <w:rFonts w:ascii="Times New Roman" w:hAnsi="Times New Roman"/>
          <w:sz w:val="24"/>
          <w:szCs w:val="24"/>
          <w:lang w:eastAsia="bg-BG"/>
        </w:rPr>
      </w:pPr>
      <w:r w:rsidRPr="006B4448">
        <w:rPr>
          <w:rFonts w:ascii="Times New Roman" w:hAnsi="Times New Roman"/>
          <w:sz w:val="24"/>
          <w:szCs w:val="24"/>
          <w:lang w:eastAsia="bg-BG"/>
        </w:rPr>
        <w:t xml:space="preserve">Съгласно чл. 1, </w:t>
      </w:r>
      <w:r w:rsidRPr="006B4448">
        <w:rPr>
          <w:rFonts w:ascii="Times New Roman" w:hAnsi="Times New Roman"/>
          <w:b/>
          <w:sz w:val="24"/>
          <w:szCs w:val="24"/>
          <w:lang w:eastAsia="bg-BG"/>
        </w:rPr>
        <w:t>пар. 4</w:t>
      </w:r>
      <w:r w:rsidRPr="006B4448">
        <w:rPr>
          <w:rFonts w:ascii="Times New Roman" w:hAnsi="Times New Roman"/>
          <w:sz w:val="24"/>
          <w:szCs w:val="24"/>
          <w:lang w:eastAsia="bg-BG"/>
        </w:rPr>
        <w:t>, буква в) от Регламент (ЕС) № 651/2014 недопустими са кандидати (и на ниво група), които са в затруднено положение съгласно чл.</w:t>
      </w:r>
      <w:r w:rsidR="006650CA">
        <w:rPr>
          <w:rFonts w:ascii="Times New Roman" w:hAnsi="Times New Roman"/>
          <w:sz w:val="24"/>
          <w:szCs w:val="24"/>
          <w:lang w:eastAsia="bg-BG"/>
        </w:rPr>
        <w:t xml:space="preserve"> </w:t>
      </w:r>
      <w:r w:rsidRPr="006B4448">
        <w:rPr>
          <w:rFonts w:ascii="Times New Roman" w:hAnsi="Times New Roman"/>
          <w:sz w:val="24"/>
          <w:szCs w:val="24"/>
          <w:lang w:eastAsia="bg-BG"/>
        </w:rPr>
        <w:t xml:space="preserve">2, </w:t>
      </w:r>
      <w:r w:rsidR="00060221">
        <w:rPr>
          <w:rFonts w:ascii="Times New Roman" w:hAnsi="Times New Roman"/>
          <w:sz w:val="24"/>
          <w:szCs w:val="24"/>
          <w:lang w:eastAsia="bg-BG"/>
        </w:rPr>
        <w:t>пар</w:t>
      </w:r>
      <w:r w:rsidRPr="006B4448">
        <w:rPr>
          <w:rFonts w:ascii="Times New Roman" w:hAnsi="Times New Roman"/>
          <w:sz w:val="24"/>
          <w:szCs w:val="24"/>
          <w:lang w:eastAsia="bg-BG"/>
        </w:rPr>
        <w:t xml:space="preserve">. 18 от същия регламент. </w:t>
      </w:r>
      <w:r w:rsidR="004A0FF2" w:rsidRPr="004A0FF2">
        <w:rPr>
          <w:rFonts w:ascii="Times New Roman" w:hAnsi="Times New Roman"/>
          <w:sz w:val="24"/>
          <w:szCs w:val="24"/>
          <w:lang w:eastAsia="bg-BG"/>
        </w:rPr>
        <w:t>За доказване на това обстоятелство кандидатите представят</w:t>
      </w:r>
      <w:r w:rsidR="004A0FF2">
        <w:rPr>
          <w:rFonts w:ascii="Times New Roman" w:hAnsi="Times New Roman"/>
          <w:sz w:val="24"/>
          <w:szCs w:val="24"/>
          <w:lang w:eastAsia="bg-BG"/>
        </w:rPr>
        <w:t xml:space="preserve"> декларация, заверена от независим одитор</w:t>
      </w:r>
      <w:r w:rsidRPr="006B4448">
        <w:rPr>
          <w:rFonts w:ascii="Times New Roman" w:hAnsi="Times New Roman"/>
          <w:sz w:val="24"/>
          <w:szCs w:val="24"/>
          <w:lang w:eastAsia="bg-BG"/>
        </w:rPr>
        <w:t xml:space="preserve">. </w:t>
      </w:r>
    </w:p>
    <w:p w14:paraId="269EBE27" w14:textId="77777777" w:rsidR="00FD4CC6" w:rsidRPr="006B4448" w:rsidRDefault="00FD4CC6" w:rsidP="00FD4CC6">
      <w:pPr>
        <w:autoSpaceDE w:val="0"/>
        <w:autoSpaceDN w:val="0"/>
        <w:adjustRightInd w:val="0"/>
        <w:spacing w:before="120" w:after="120" w:line="240" w:lineRule="auto"/>
        <w:ind w:firstLine="708"/>
        <w:jc w:val="both"/>
        <w:rPr>
          <w:rFonts w:ascii="Times New Roman" w:hAnsi="Times New Roman"/>
          <w:sz w:val="24"/>
          <w:szCs w:val="24"/>
          <w:lang w:eastAsia="bg-BG"/>
        </w:rPr>
      </w:pPr>
      <w:r w:rsidRPr="006B4448">
        <w:rPr>
          <w:rFonts w:ascii="Times New Roman" w:hAnsi="Times New Roman"/>
          <w:sz w:val="24"/>
          <w:szCs w:val="24"/>
          <w:lang w:eastAsia="bg-BG"/>
        </w:rPr>
        <w:t xml:space="preserve">Изискванията по </w:t>
      </w:r>
      <w:r w:rsidR="00060221">
        <w:rPr>
          <w:rFonts w:ascii="Times New Roman" w:hAnsi="Times New Roman"/>
          <w:sz w:val="24"/>
          <w:szCs w:val="24"/>
          <w:lang w:eastAsia="bg-BG"/>
        </w:rPr>
        <w:t>пар</w:t>
      </w:r>
      <w:r w:rsidRPr="006B4448">
        <w:rPr>
          <w:rFonts w:ascii="Times New Roman" w:hAnsi="Times New Roman"/>
          <w:sz w:val="24"/>
          <w:szCs w:val="24"/>
          <w:lang w:eastAsia="bg-BG"/>
        </w:rPr>
        <w:t xml:space="preserve">. 18 буква „в“ се прилагат и на равнище група – както за предприятието–кандидат, така и за предприятията, с които кандидатът формира група предприятия (разгледани в цялост). </w:t>
      </w:r>
    </w:p>
    <w:p w14:paraId="3D015228" w14:textId="44C4234A" w:rsidR="005E686B" w:rsidRDefault="005E686B" w:rsidP="00FD4CC6">
      <w:pPr>
        <w:autoSpaceDE w:val="0"/>
        <w:autoSpaceDN w:val="0"/>
        <w:adjustRightInd w:val="0"/>
        <w:spacing w:before="120" w:after="120" w:line="240" w:lineRule="auto"/>
        <w:ind w:firstLine="708"/>
        <w:jc w:val="both"/>
        <w:rPr>
          <w:rFonts w:ascii="Times New Roman" w:hAnsi="Times New Roman"/>
          <w:sz w:val="24"/>
          <w:szCs w:val="24"/>
          <w:lang w:eastAsia="bg-BG"/>
        </w:rPr>
      </w:pPr>
      <w:r>
        <w:rPr>
          <w:rFonts w:ascii="Times New Roman" w:hAnsi="Times New Roman"/>
          <w:sz w:val="24"/>
          <w:szCs w:val="24"/>
          <w:lang w:eastAsia="bg-BG"/>
        </w:rPr>
        <w:t>Независим одитор</w:t>
      </w:r>
      <w:r w:rsidR="00FD4CC6" w:rsidRPr="006B4448">
        <w:rPr>
          <w:rFonts w:ascii="Times New Roman" w:hAnsi="Times New Roman"/>
          <w:sz w:val="24"/>
          <w:szCs w:val="24"/>
          <w:lang w:eastAsia="bg-BG"/>
        </w:rPr>
        <w:t xml:space="preserve"> извършва проверка за установяване дали </w:t>
      </w:r>
      <w:r w:rsidR="00780977">
        <w:rPr>
          <w:rFonts w:ascii="Times New Roman" w:hAnsi="Times New Roman"/>
          <w:sz w:val="24"/>
          <w:szCs w:val="24"/>
          <w:lang w:eastAsia="bg-BG"/>
        </w:rPr>
        <w:t>кандидатът</w:t>
      </w:r>
      <w:r w:rsidR="00FD4CC6" w:rsidRPr="006B4448">
        <w:rPr>
          <w:rFonts w:ascii="Times New Roman" w:hAnsi="Times New Roman"/>
          <w:sz w:val="24"/>
          <w:szCs w:val="24"/>
          <w:lang w:eastAsia="bg-BG"/>
        </w:rPr>
        <w:t xml:space="preserve"> е „предприятие в затруднено положение“ по смисъла на чл.2, </w:t>
      </w:r>
      <w:r w:rsidR="00060221">
        <w:rPr>
          <w:rFonts w:ascii="Times New Roman" w:hAnsi="Times New Roman"/>
          <w:sz w:val="24"/>
          <w:szCs w:val="24"/>
          <w:lang w:eastAsia="bg-BG"/>
        </w:rPr>
        <w:t>пар</w:t>
      </w:r>
      <w:r w:rsidR="00FD4CC6" w:rsidRPr="006B4448">
        <w:rPr>
          <w:rFonts w:ascii="Times New Roman" w:hAnsi="Times New Roman"/>
          <w:sz w:val="24"/>
          <w:szCs w:val="24"/>
          <w:lang w:eastAsia="bg-BG"/>
        </w:rPr>
        <w:t>.18 от Регламент (ЕС) № 651/2014) на кандидата и на лицата, с които същите са свързани, формирайки група</w:t>
      </w:r>
      <w:r>
        <w:rPr>
          <w:rFonts w:ascii="Times New Roman" w:hAnsi="Times New Roman"/>
          <w:sz w:val="24"/>
          <w:szCs w:val="24"/>
          <w:lang w:eastAsia="bg-BG"/>
        </w:rPr>
        <w:t>.</w:t>
      </w:r>
    </w:p>
    <w:p w14:paraId="32F1AC52" w14:textId="6D8A4E02" w:rsidR="00106E0F" w:rsidRDefault="005E686B" w:rsidP="00FD4CC6">
      <w:pPr>
        <w:autoSpaceDE w:val="0"/>
        <w:autoSpaceDN w:val="0"/>
        <w:adjustRightInd w:val="0"/>
        <w:spacing w:before="120" w:after="120" w:line="240" w:lineRule="auto"/>
        <w:ind w:firstLine="708"/>
        <w:jc w:val="both"/>
        <w:rPr>
          <w:rFonts w:ascii="Times New Roman" w:hAnsi="Times New Roman"/>
          <w:sz w:val="24"/>
          <w:szCs w:val="24"/>
          <w:lang w:eastAsia="bg-BG"/>
        </w:rPr>
      </w:pPr>
      <w:r>
        <w:rPr>
          <w:rFonts w:ascii="Times New Roman" w:hAnsi="Times New Roman"/>
          <w:sz w:val="24"/>
          <w:szCs w:val="24"/>
          <w:lang w:eastAsia="bg-BG"/>
        </w:rPr>
        <w:t xml:space="preserve">УО </w:t>
      </w:r>
      <w:r w:rsidR="00BC433E">
        <w:rPr>
          <w:rFonts w:ascii="Times New Roman" w:hAnsi="Times New Roman"/>
          <w:sz w:val="24"/>
          <w:szCs w:val="24"/>
          <w:lang w:eastAsia="bg-BG"/>
        </w:rPr>
        <w:t xml:space="preserve">може да </w:t>
      </w:r>
      <w:r>
        <w:rPr>
          <w:rFonts w:ascii="Times New Roman" w:hAnsi="Times New Roman"/>
          <w:sz w:val="24"/>
          <w:szCs w:val="24"/>
          <w:lang w:eastAsia="bg-BG"/>
        </w:rPr>
        <w:t xml:space="preserve">извършва проверка за съответствие </w:t>
      </w:r>
      <w:r w:rsidR="00BC433E">
        <w:rPr>
          <w:rFonts w:ascii="Times New Roman" w:hAnsi="Times New Roman"/>
          <w:sz w:val="24"/>
          <w:szCs w:val="24"/>
          <w:lang w:eastAsia="bg-BG"/>
        </w:rPr>
        <w:t xml:space="preserve">на </w:t>
      </w:r>
      <w:r w:rsidR="00FD4CC6" w:rsidRPr="006B4448">
        <w:rPr>
          <w:rFonts w:ascii="Times New Roman" w:hAnsi="Times New Roman"/>
          <w:sz w:val="24"/>
          <w:szCs w:val="24"/>
          <w:lang w:eastAsia="bg-BG"/>
        </w:rPr>
        <w:t xml:space="preserve">подадената декларация и служебна проверка на наличната информация в публичните регистри (вкл. Търговския регистър и Регистъра на ЮЛНЦ), </w:t>
      </w:r>
      <w:r w:rsidR="00FD4CC6" w:rsidRPr="006B4448">
        <w:rPr>
          <w:rFonts w:ascii="Times New Roman" w:hAnsi="Times New Roman"/>
          <w:i/>
          <w:sz w:val="24"/>
          <w:szCs w:val="24"/>
          <w:lang w:eastAsia="bg-BG"/>
        </w:rPr>
        <w:t xml:space="preserve">както и ще извърши проверки на база годишните отчети на </w:t>
      </w:r>
      <w:r w:rsidR="00E8266F">
        <w:rPr>
          <w:rFonts w:ascii="Times New Roman" w:hAnsi="Times New Roman"/>
          <w:i/>
          <w:sz w:val="24"/>
          <w:szCs w:val="24"/>
          <w:lang w:eastAsia="bg-BG"/>
        </w:rPr>
        <w:t>кандидатите</w:t>
      </w:r>
      <w:r w:rsidR="00FD4CC6" w:rsidRPr="006B4448">
        <w:rPr>
          <w:rFonts w:ascii="Times New Roman" w:hAnsi="Times New Roman"/>
          <w:i/>
          <w:sz w:val="24"/>
          <w:szCs w:val="24"/>
          <w:lang w:eastAsia="bg-BG"/>
        </w:rPr>
        <w:t>, и/или чрез изискване на конкретна информация за целта, включително при необходимост счетоводни отчети и справки</w:t>
      </w:r>
      <w:r w:rsidR="00FD4CC6" w:rsidRPr="006B4448">
        <w:rPr>
          <w:rFonts w:ascii="Times New Roman" w:hAnsi="Times New Roman"/>
          <w:sz w:val="24"/>
          <w:szCs w:val="24"/>
          <w:lang w:eastAsia="bg-BG"/>
        </w:rPr>
        <w:t>. Проверката и определянето на</w:t>
      </w:r>
      <w:r w:rsidR="00FD4CC6" w:rsidRPr="006B4448">
        <w:rPr>
          <w:rFonts w:ascii="Times New Roman" w:hAnsi="Times New Roman"/>
          <w:lang w:eastAsia="bg-BG"/>
        </w:rPr>
        <w:t xml:space="preserve"> </w:t>
      </w:r>
      <w:r w:rsidR="00FD4CC6" w:rsidRPr="006B4448">
        <w:rPr>
          <w:rFonts w:ascii="Times New Roman" w:hAnsi="Times New Roman"/>
          <w:sz w:val="24"/>
          <w:szCs w:val="24"/>
          <w:lang w:eastAsia="bg-BG"/>
        </w:rPr>
        <w:t>свързаността на кандидата с други субекти в „група“ ще се извършва</w:t>
      </w:r>
      <w:r w:rsidR="00FD4CC6" w:rsidRPr="006B4448">
        <w:rPr>
          <w:rFonts w:ascii="Times New Roman" w:hAnsi="Times New Roman"/>
          <w:lang w:eastAsia="bg-BG"/>
        </w:rPr>
        <w:t xml:space="preserve"> </w:t>
      </w:r>
      <w:r w:rsidR="00FD4CC6" w:rsidRPr="006B4448">
        <w:rPr>
          <w:rFonts w:ascii="Times New Roman" w:hAnsi="Times New Roman"/>
          <w:sz w:val="24"/>
          <w:szCs w:val="24"/>
          <w:lang w:eastAsia="bg-BG"/>
        </w:rPr>
        <w:t xml:space="preserve">съобразно Приложение 1 към Регламент (ЕС) № 651/2014 при отчитане на числеността на персонала и финансовите прагове и показатели. </w:t>
      </w:r>
    </w:p>
    <w:p w14:paraId="7C6C8A92" w14:textId="77777777" w:rsidR="00FD4CC6" w:rsidRPr="006B4448" w:rsidRDefault="00FD4CC6" w:rsidP="00FD4CC6">
      <w:pPr>
        <w:autoSpaceDE w:val="0"/>
        <w:autoSpaceDN w:val="0"/>
        <w:adjustRightInd w:val="0"/>
        <w:spacing w:before="120" w:after="120" w:line="240" w:lineRule="auto"/>
        <w:ind w:firstLine="708"/>
        <w:jc w:val="both"/>
        <w:rPr>
          <w:rFonts w:ascii="Times New Roman" w:hAnsi="Times New Roman"/>
          <w:sz w:val="24"/>
          <w:szCs w:val="24"/>
          <w:lang w:eastAsia="bg-BG"/>
        </w:rPr>
      </w:pPr>
      <w:r w:rsidRPr="006B4448">
        <w:rPr>
          <w:rFonts w:ascii="Times New Roman" w:hAnsi="Times New Roman"/>
          <w:sz w:val="24"/>
          <w:szCs w:val="24"/>
          <w:lang w:eastAsia="bg-BG"/>
        </w:rPr>
        <w:t xml:space="preserve">Проверката на финансовото състояние и наличието на обстоятелствата за предприятие в затруднение на ниво група се извършва чрез консолидация на финансовите отчети, когато е приложимо и съобразно приложимите счетоводни стандарти. Проверката включва преценка във връзка с наличието на икономически субект (кандидат), имащ общ източник на контрол на основание не само представения консолидиран финансов отчет (за група предприятия), но и наличната информация в </w:t>
      </w:r>
      <w:r w:rsidRPr="006B4448">
        <w:rPr>
          <w:rFonts w:ascii="Times New Roman" w:hAnsi="Times New Roman"/>
          <w:sz w:val="24"/>
          <w:szCs w:val="24"/>
          <w:lang w:eastAsia="bg-BG"/>
        </w:rPr>
        <w:lastRenderedPageBreak/>
        <w:t>публичните регистри (вкл. Търговския регистър и Регистъра на ЮЛНЦ), отчитайки възможността общия източник на контрол да се осъществява, както от предприятия, така и от физически лица, участващи в управлението им.</w:t>
      </w:r>
    </w:p>
    <w:p w14:paraId="6B0CF980" w14:textId="6DDF948A" w:rsidR="00FD4CC6" w:rsidRPr="001220BD" w:rsidRDefault="00FD4CC6" w:rsidP="00E8266F">
      <w:pPr>
        <w:autoSpaceDE w:val="0"/>
        <w:autoSpaceDN w:val="0"/>
        <w:adjustRightInd w:val="0"/>
        <w:spacing w:before="120" w:after="120" w:line="240" w:lineRule="auto"/>
        <w:ind w:firstLine="708"/>
        <w:jc w:val="both"/>
        <w:rPr>
          <w:rFonts w:ascii="Times New Roman" w:hAnsi="Times New Roman"/>
          <w:i/>
          <w:sz w:val="24"/>
          <w:szCs w:val="24"/>
          <w:lang w:eastAsia="bg-BG"/>
        </w:rPr>
      </w:pPr>
      <w:r w:rsidRPr="006B4448">
        <w:rPr>
          <w:rFonts w:ascii="Times New Roman" w:hAnsi="Times New Roman"/>
          <w:i/>
          <w:sz w:val="24"/>
          <w:szCs w:val="24"/>
          <w:lang w:eastAsia="bg-BG"/>
        </w:rPr>
        <w:t xml:space="preserve">С оглед на горното, преди сключване на административния договор, </w:t>
      </w:r>
      <w:r w:rsidR="00E8266F">
        <w:rPr>
          <w:rFonts w:ascii="Times New Roman" w:hAnsi="Times New Roman"/>
          <w:i/>
          <w:sz w:val="24"/>
          <w:szCs w:val="24"/>
          <w:lang w:eastAsia="bg-BG"/>
        </w:rPr>
        <w:t>кандидата</w:t>
      </w:r>
      <w:r w:rsidRPr="006B4448">
        <w:rPr>
          <w:rFonts w:ascii="Times New Roman" w:hAnsi="Times New Roman"/>
          <w:i/>
          <w:sz w:val="24"/>
          <w:szCs w:val="24"/>
          <w:lang w:eastAsia="bg-BG"/>
        </w:rPr>
        <w:t xml:space="preserve"> следва да представи обосновка дали кандидатът формира група предприятия, съответния анализ по чл. 2, </w:t>
      </w:r>
      <w:r w:rsidR="00060221">
        <w:rPr>
          <w:rFonts w:ascii="Times New Roman" w:hAnsi="Times New Roman"/>
          <w:i/>
          <w:sz w:val="24"/>
          <w:szCs w:val="24"/>
          <w:lang w:eastAsia="bg-BG"/>
        </w:rPr>
        <w:t>пар</w:t>
      </w:r>
      <w:r w:rsidRPr="006B4448">
        <w:rPr>
          <w:rFonts w:ascii="Times New Roman" w:hAnsi="Times New Roman"/>
          <w:i/>
          <w:sz w:val="24"/>
          <w:szCs w:val="24"/>
          <w:lang w:eastAsia="bg-BG"/>
        </w:rPr>
        <w:t>. 18 за кандидата и/или общо за групата и Годишен финансов отчет за последните две приключени финансови години /консолидиран – за група предприятия/</w:t>
      </w:r>
      <w:r w:rsidRPr="006B4448">
        <w:rPr>
          <w:rFonts w:ascii="Times New Roman" w:hAnsi="Times New Roman"/>
          <w:sz w:val="24"/>
          <w:szCs w:val="24"/>
          <w:lang w:eastAsia="bg-BG"/>
        </w:rPr>
        <w:t>. В случай че при проверката бъде установена непълнота в информацията, липса на документи и/или друга нередовност и ГФО с приложенията към него са оповестени в Търговския регистър и регистъра на ЮЛНЦ и са в идентичен формат на образеца, в който са подадени към НСИ, документите няма да бъдат изисквани като това обстоятелство ще се проверява по служебен път съгласно чл. 23, ал. 6 от Закона за търговския регистър и регистъра на ЮЛНЦ.</w:t>
      </w:r>
    </w:p>
    <w:p w14:paraId="6BCC8415" w14:textId="77777777" w:rsidR="00FD4CC6" w:rsidRPr="006B4448" w:rsidRDefault="00FD4CC6" w:rsidP="00FD4CC6">
      <w:pPr>
        <w:autoSpaceDE w:val="0"/>
        <w:autoSpaceDN w:val="0"/>
        <w:adjustRightInd w:val="0"/>
        <w:spacing w:before="120" w:after="120" w:line="240" w:lineRule="auto"/>
        <w:ind w:firstLine="708"/>
        <w:jc w:val="both"/>
        <w:rPr>
          <w:rFonts w:ascii="Times New Roman" w:hAnsi="Times New Roman"/>
          <w:sz w:val="24"/>
          <w:szCs w:val="24"/>
          <w:lang w:eastAsia="bg-BG"/>
        </w:rPr>
      </w:pPr>
      <w:r w:rsidRPr="006B4448">
        <w:rPr>
          <w:rFonts w:ascii="Times New Roman" w:hAnsi="Times New Roman"/>
          <w:i/>
          <w:sz w:val="24"/>
          <w:szCs w:val="24"/>
          <w:lang w:eastAsia="bg-BG"/>
        </w:rPr>
        <w:t>УО може да изиска от предприятието отделен анализ на обстоятелствата по чл. 2, пар. 18, заверени от независим одитор и от ръководителя на предприятието</w:t>
      </w:r>
      <w:r w:rsidRPr="006B4448">
        <w:rPr>
          <w:rFonts w:ascii="Times New Roman" w:hAnsi="Times New Roman"/>
          <w:sz w:val="24"/>
          <w:szCs w:val="24"/>
          <w:lang w:eastAsia="bg-BG"/>
        </w:rPr>
        <w:t>.</w:t>
      </w:r>
    </w:p>
    <w:p w14:paraId="1FF3F8B7" w14:textId="35526F0A" w:rsidR="00FD4CC6" w:rsidRPr="006B4448" w:rsidRDefault="00FD4CC6" w:rsidP="00FD4CC6">
      <w:pPr>
        <w:autoSpaceDE w:val="0"/>
        <w:autoSpaceDN w:val="0"/>
        <w:adjustRightInd w:val="0"/>
        <w:spacing w:before="120" w:after="120" w:line="240" w:lineRule="auto"/>
        <w:ind w:firstLine="708"/>
        <w:jc w:val="both"/>
        <w:rPr>
          <w:rFonts w:ascii="Times New Roman" w:hAnsi="Times New Roman"/>
          <w:sz w:val="24"/>
          <w:szCs w:val="24"/>
          <w:lang w:eastAsia="bg-BG"/>
        </w:rPr>
      </w:pPr>
      <w:r w:rsidRPr="006B4448">
        <w:rPr>
          <w:rFonts w:ascii="Times New Roman" w:hAnsi="Times New Roman"/>
          <w:sz w:val="24"/>
          <w:szCs w:val="24"/>
          <w:lang w:eastAsia="bg-BG"/>
        </w:rPr>
        <w:t xml:space="preserve">С оглед на горното преди сключване на административния договор за предоставяне на безвъзмездна финансова помощ </w:t>
      </w:r>
      <w:r w:rsidR="00E8266F">
        <w:rPr>
          <w:rFonts w:ascii="Times New Roman" w:hAnsi="Times New Roman"/>
          <w:sz w:val="24"/>
          <w:szCs w:val="24"/>
          <w:lang w:eastAsia="bg-BG"/>
        </w:rPr>
        <w:t>кандидата</w:t>
      </w:r>
      <w:r w:rsidRPr="006B4448">
        <w:rPr>
          <w:rFonts w:ascii="Times New Roman" w:hAnsi="Times New Roman"/>
          <w:sz w:val="24"/>
          <w:szCs w:val="24"/>
          <w:lang w:eastAsia="bg-BG"/>
        </w:rPr>
        <w:t xml:space="preserve"> следва да представи справка-извлечение за последната приключила финансова година от счетоводните сметки на кандидата по индивидуалния сметкоплан, утвърден от ръководството на дружеството, отчитащи приходите от дейността в т.ч., отчитащи нетните приходи от продажби, включително и приходите от финансирания и субсидии от държавата, както и отсрочени и разсрочени публични вземания - копие, заверено от кандидата.</w:t>
      </w:r>
    </w:p>
    <w:p w14:paraId="6D994B49" w14:textId="77777777" w:rsidR="00FD4CC6" w:rsidRPr="006B4448" w:rsidRDefault="00FD4CC6" w:rsidP="00FD4CC6">
      <w:pPr>
        <w:autoSpaceDE w:val="0"/>
        <w:autoSpaceDN w:val="0"/>
        <w:adjustRightInd w:val="0"/>
        <w:spacing w:before="120" w:after="120" w:line="240" w:lineRule="auto"/>
        <w:ind w:firstLine="708"/>
        <w:jc w:val="both"/>
        <w:rPr>
          <w:rFonts w:ascii="Times New Roman" w:hAnsi="Times New Roman"/>
          <w:sz w:val="24"/>
          <w:szCs w:val="24"/>
          <w:lang w:eastAsia="bg-BG"/>
        </w:rPr>
      </w:pPr>
      <w:r w:rsidRPr="006B4448">
        <w:rPr>
          <w:rFonts w:ascii="Times New Roman" w:hAnsi="Times New Roman"/>
          <w:sz w:val="24"/>
          <w:szCs w:val="24"/>
          <w:lang w:eastAsia="bg-BG"/>
        </w:rPr>
        <w:t xml:space="preserve">Получената държавна помощ </w:t>
      </w:r>
      <w:r>
        <w:rPr>
          <w:rFonts w:ascii="Times New Roman" w:hAnsi="Times New Roman"/>
          <w:sz w:val="24"/>
          <w:szCs w:val="24"/>
          <w:lang w:eastAsia="bg-BG"/>
        </w:rPr>
        <w:t>за проекта</w:t>
      </w:r>
      <w:r w:rsidRPr="006B4448">
        <w:rPr>
          <w:rFonts w:ascii="Times New Roman" w:hAnsi="Times New Roman"/>
          <w:sz w:val="24"/>
          <w:szCs w:val="24"/>
          <w:lang w:eastAsia="bg-BG"/>
        </w:rPr>
        <w:t xml:space="preserve"> подлежи на възстановяване по реда на Глава шеста от Закона за държавните помощи, в случай че при отпускане на помощта и изпълнението на проекта, условията на Регламент (ЕС) № 651/2014 не бъдат кумулативно спазени.</w:t>
      </w:r>
    </w:p>
    <w:p w14:paraId="2CEA2250" w14:textId="77777777" w:rsidR="00FD4CC6" w:rsidRPr="006B4448" w:rsidRDefault="00FD4CC6" w:rsidP="00FD4CC6">
      <w:pPr>
        <w:autoSpaceDE w:val="0"/>
        <w:autoSpaceDN w:val="0"/>
        <w:adjustRightInd w:val="0"/>
        <w:spacing w:before="120" w:after="120" w:line="240" w:lineRule="auto"/>
        <w:ind w:firstLine="708"/>
        <w:jc w:val="both"/>
        <w:rPr>
          <w:rFonts w:ascii="Times New Roman" w:hAnsi="Times New Roman"/>
          <w:sz w:val="24"/>
          <w:szCs w:val="24"/>
          <w:lang w:eastAsia="bg-BG"/>
        </w:rPr>
      </w:pPr>
      <w:r w:rsidRPr="006B4448">
        <w:rPr>
          <w:rFonts w:ascii="Times New Roman" w:hAnsi="Times New Roman"/>
          <w:sz w:val="24"/>
          <w:szCs w:val="24"/>
          <w:lang w:eastAsia="bg-BG"/>
        </w:rPr>
        <w:t xml:space="preserve">Съгласно чл. 1, </w:t>
      </w:r>
      <w:r w:rsidRPr="006B4448">
        <w:rPr>
          <w:rFonts w:ascii="Times New Roman" w:hAnsi="Times New Roman"/>
          <w:b/>
          <w:sz w:val="24"/>
          <w:szCs w:val="24"/>
          <w:lang w:eastAsia="bg-BG"/>
        </w:rPr>
        <w:t>пар. 5</w:t>
      </w:r>
      <w:r w:rsidRPr="006B4448">
        <w:rPr>
          <w:rFonts w:ascii="Times New Roman" w:hAnsi="Times New Roman"/>
          <w:sz w:val="24"/>
          <w:szCs w:val="24"/>
          <w:lang w:eastAsia="bg-BG"/>
        </w:rPr>
        <w:t xml:space="preserve"> - Регламент (ЕС) № 651/2014 не се прилага за мерки за държавна помощ, които поради своите особености, поради придружаващите ги условия или поради метода на тяхното финансиране водят до неотделимо нарушение на законодателството на Съюза, по-специално:</w:t>
      </w:r>
    </w:p>
    <w:p w14:paraId="2D331508" w14:textId="77777777" w:rsidR="00FD4CC6" w:rsidRPr="006B4448" w:rsidRDefault="00FD4CC6" w:rsidP="00FD4CC6">
      <w:pPr>
        <w:autoSpaceDE w:val="0"/>
        <w:autoSpaceDN w:val="0"/>
        <w:adjustRightInd w:val="0"/>
        <w:spacing w:before="120" w:after="120" w:line="240" w:lineRule="auto"/>
        <w:ind w:firstLine="708"/>
        <w:jc w:val="both"/>
        <w:rPr>
          <w:rFonts w:ascii="Times New Roman" w:hAnsi="Times New Roman"/>
          <w:sz w:val="24"/>
          <w:szCs w:val="24"/>
          <w:lang w:eastAsia="bg-BG"/>
        </w:rPr>
      </w:pPr>
      <w:r w:rsidRPr="006B4448">
        <w:rPr>
          <w:rFonts w:ascii="Times New Roman" w:hAnsi="Times New Roman"/>
          <w:sz w:val="24"/>
          <w:szCs w:val="24"/>
          <w:lang w:eastAsia="bg-BG"/>
        </w:rPr>
        <w:t xml:space="preserve">а) мерки за помощ, при които предоставянето на помощта е обвързано със задължението седалището или основното място на установяване на </w:t>
      </w:r>
      <w:r w:rsidR="009D7346">
        <w:rPr>
          <w:rFonts w:ascii="Times New Roman" w:hAnsi="Times New Roman"/>
          <w:sz w:val="24"/>
          <w:szCs w:val="24"/>
          <w:lang w:eastAsia="bg-BG"/>
        </w:rPr>
        <w:t>б</w:t>
      </w:r>
      <w:r>
        <w:rPr>
          <w:rFonts w:ascii="Times New Roman" w:hAnsi="Times New Roman"/>
          <w:sz w:val="24"/>
          <w:szCs w:val="24"/>
          <w:lang w:eastAsia="bg-BG"/>
        </w:rPr>
        <w:t>енефициент</w:t>
      </w:r>
      <w:r w:rsidRPr="006B4448">
        <w:rPr>
          <w:rFonts w:ascii="Times New Roman" w:hAnsi="Times New Roman"/>
          <w:sz w:val="24"/>
          <w:szCs w:val="24"/>
          <w:lang w:eastAsia="bg-BG"/>
        </w:rPr>
        <w:t xml:space="preserve">а да се намира в съответната държава членка; въпреки това се разрешава условието към момента на изплащането на помощта </w:t>
      </w:r>
      <w:r>
        <w:rPr>
          <w:rFonts w:ascii="Times New Roman" w:hAnsi="Times New Roman"/>
          <w:sz w:val="24"/>
          <w:szCs w:val="24"/>
          <w:lang w:eastAsia="bg-BG"/>
        </w:rPr>
        <w:t>Бенефициентът</w:t>
      </w:r>
      <w:r w:rsidRPr="006B4448">
        <w:rPr>
          <w:rFonts w:ascii="Times New Roman" w:hAnsi="Times New Roman"/>
          <w:sz w:val="24"/>
          <w:szCs w:val="24"/>
          <w:lang w:eastAsia="bg-BG"/>
        </w:rPr>
        <w:t xml:space="preserve"> да е създал седалище или клон в държавата членка, предоставяща помощта - предоставянето на помощта не е обвързано със задължението седалището или основното място на установяване на </w:t>
      </w:r>
      <w:r>
        <w:rPr>
          <w:rFonts w:ascii="Times New Roman" w:hAnsi="Times New Roman"/>
          <w:sz w:val="24"/>
          <w:szCs w:val="24"/>
          <w:lang w:eastAsia="bg-BG"/>
        </w:rPr>
        <w:t>Бенефициент</w:t>
      </w:r>
      <w:r w:rsidRPr="006B4448">
        <w:rPr>
          <w:rFonts w:ascii="Times New Roman" w:hAnsi="Times New Roman"/>
          <w:sz w:val="24"/>
          <w:szCs w:val="24"/>
          <w:lang w:eastAsia="bg-BG"/>
        </w:rPr>
        <w:t xml:space="preserve">а да се намира в съответната държава членка; въпреки това се разрешава условието към момента на изплащането на помощта </w:t>
      </w:r>
      <w:r>
        <w:rPr>
          <w:rFonts w:ascii="Times New Roman" w:hAnsi="Times New Roman"/>
          <w:sz w:val="24"/>
          <w:szCs w:val="24"/>
          <w:lang w:eastAsia="bg-BG"/>
        </w:rPr>
        <w:t>Бенефициентът</w:t>
      </w:r>
      <w:r w:rsidRPr="006B4448">
        <w:rPr>
          <w:rFonts w:ascii="Times New Roman" w:hAnsi="Times New Roman"/>
          <w:sz w:val="24"/>
          <w:szCs w:val="24"/>
          <w:lang w:eastAsia="bg-BG"/>
        </w:rPr>
        <w:t xml:space="preserve"> да е създал седалище или клон в държавата членка, предоставяща помощта. </w:t>
      </w:r>
    </w:p>
    <w:p w14:paraId="1BBA8FB4" w14:textId="77777777" w:rsidR="00FD4CC6" w:rsidRPr="006B4448" w:rsidRDefault="00FD4CC6" w:rsidP="00FD4CC6">
      <w:pPr>
        <w:autoSpaceDE w:val="0"/>
        <w:autoSpaceDN w:val="0"/>
        <w:adjustRightInd w:val="0"/>
        <w:spacing w:before="120" w:after="120" w:line="240" w:lineRule="auto"/>
        <w:ind w:firstLine="708"/>
        <w:jc w:val="both"/>
        <w:rPr>
          <w:rFonts w:ascii="Times New Roman" w:hAnsi="Times New Roman"/>
          <w:sz w:val="24"/>
          <w:szCs w:val="24"/>
          <w:lang w:eastAsia="bg-BG"/>
        </w:rPr>
      </w:pPr>
      <w:r w:rsidRPr="006B4448">
        <w:rPr>
          <w:rFonts w:ascii="Times New Roman" w:hAnsi="Times New Roman"/>
          <w:sz w:val="24"/>
          <w:szCs w:val="24"/>
          <w:lang w:eastAsia="bg-BG"/>
        </w:rPr>
        <w:t xml:space="preserve">б) мерки за помощ, при които предоставянето на помощ е обвързано със задължението </w:t>
      </w:r>
      <w:r>
        <w:rPr>
          <w:rFonts w:ascii="Times New Roman" w:hAnsi="Times New Roman"/>
          <w:sz w:val="24"/>
          <w:szCs w:val="24"/>
          <w:lang w:eastAsia="bg-BG"/>
        </w:rPr>
        <w:t>Бенефициентът</w:t>
      </w:r>
      <w:r w:rsidRPr="006B4448">
        <w:rPr>
          <w:rFonts w:ascii="Times New Roman" w:hAnsi="Times New Roman"/>
          <w:sz w:val="24"/>
          <w:szCs w:val="24"/>
          <w:lang w:eastAsia="bg-BG"/>
        </w:rPr>
        <w:t xml:space="preserve"> да използва национално произведени стоки и услуги - предоставянето на помощта не е обвързано със задължението </w:t>
      </w:r>
      <w:r>
        <w:rPr>
          <w:rFonts w:ascii="Times New Roman" w:hAnsi="Times New Roman"/>
          <w:sz w:val="24"/>
          <w:szCs w:val="24"/>
          <w:lang w:eastAsia="bg-BG"/>
        </w:rPr>
        <w:t>Бенефициентът</w:t>
      </w:r>
      <w:r w:rsidRPr="006B4448">
        <w:rPr>
          <w:rFonts w:ascii="Times New Roman" w:hAnsi="Times New Roman"/>
          <w:sz w:val="24"/>
          <w:szCs w:val="24"/>
          <w:lang w:eastAsia="bg-BG"/>
        </w:rPr>
        <w:t xml:space="preserve"> да използва национално произведени стоки и услуги</w:t>
      </w:r>
    </w:p>
    <w:p w14:paraId="5F279DEB" w14:textId="77777777" w:rsidR="00FD4CC6" w:rsidRPr="006B4448" w:rsidRDefault="00FD4CC6" w:rsidP="00FD4CC6">
      <w:pPr>
        <w:autoSpaceDE w:val="0"/>
        <w:autoSpaceDN w:val="0"/>
        <w:adjustRightInd w:val="0"/>
        <w:spacing w:before="120" w:after="120" w:line="240" w:lineRule="auto"/>
        <w:ind w:firstLine="708"/>
        <w:jc w:val="both"/>
        <w:rPr>
          <w:rFonts w:ascii="Times New Roman" w:hAnsi="Times New Roman"/>
          <w:sz w:val="24"/>
          <w:szCs w:val="24"/>
          <w:lang w:eastAsia="bg-BG"/>
        </w:rPr>
      </w:pPr>
      <w:r w:rsidRPr="006B4448">
        <w:rPr>
          <w:rFonts w:ascii="Times New Roman" w:hAnsi="Times New Roman"/>
          <w:sz w:val="24"/>
          <w:szCs w:val="24"/>
          <w:lang w:eastAsia="bg-BG"/>
        </w:rPr>
        <w:t xml:space="preserve">в) мерки за помощ, които ограничават възможността </w:t>
      </w:r>
      <w:r>
        <w:rPr>
          <w:rFonts w:ascii="Times New Roman" w:hAnsi="Times New Roman"/>
          <w:sz w:val="24"/>
          <w:szCs w:val="24"/>
          <w:lang w:eastAsia="bg-BG"/>
        </w:rPr>
        <w:t>Бенефициентът</w:t>
      </w:r>
      <w:r w:rsidRPr="006B4448">
        <w:rPr>
          <w:rFonts w:ascii="Times New Roman" w:hAnsi="Times New Roman"/>
          <w:sz w:val="24"/>
          <w:szCs w:val="24"/>
          <w:lang w:eastAsia="bg-BG"/>
        </w:rPr>
        <w:t xml:space="preserve"> да се възползва от резултатите от научноизследователска дейност и иновации в други държави членки – помощта не съдържа ограничения </w:t>
      </w:r>
      <w:r>
        <w:rPr>
          <w:rFonts w:ascii="Times New Roman" w:hAnsi="Times New Roman"/>
          <w:sz w:val="24"/>
          <w:szCs w:val="24"/>
          <w:lang w:eastAsia="bg-BG"/>
        </w:rPr>
        <w:t>Бенефициентът</w:t>
      </w:r>
      <w:r w:rsidRPr="006B4448">
        <w:rPr>
          <w:rFonts w:ascii="Times New Roman" w:hAnsi="Times New Roman"/>
          <w:sz w:val="24"/>
          <w:szCs w:val="24"/>
          <w:lang w:eastAsia="bg-BG"/>
        </w:rPr>
        <w:t xml:space="preserve"> да се възползва от резултатите от научноизследователска дейност и иновации в други държави членки.</w:t>
      </w:r>
    </w:p>
    <w:p w14:paraId="0DE21CB0" w14:textId="77777777" w:rsidR="00FD4CC6" w:rsidRPr="006B4448" w:rsidRDefault="00FD4CC6" w:rsidP="00FD4CC6">
      <w:pPr>
        <w:autoSpaceDE w:val="0"/>
        <w:autoSpaceDN w:val="0"/>
        <w:adjustRightInd w:val="0"/>
        <w:spacing w:before="120" w:after="120" w:line="240" w:lineRule="auto"/>
        <w:ind w:firstLine="708"/>
        <w:jc w:val="both"/>
        <w:rPr>
          <w:rFonts w:ascii="Times New Roman" w:hAnsi="Times New Roman"/>
          <w:i/>
          <w:sz w:val="24"/>
          <w:szCs w:val="24"/>
          <w:lang w:eastAsia="bg-BG"/>
        </w:rPr>
      </w:pPr>
      <w:r w:rsidRPr="006B4448">
        <w:rPr>
          <w:rFonts w:ascii="Times New Roman" w:hAnsi="Times New Roman"/>
          <w:i/>
          <w:sz w:val="24"/>
          <w:szCs w:val="24"/>
          <w:lang w:eastAsia="bg-BG"/>
        </w:rPr>
        <w:lastRenderedPageBreak/>
        <w:t xml:space="preserve">При разработването и представянето на проекта </w:t>
      </w:r>
      <w:r w:rsidR="009D7346">
        <w:rPr>
          <w:rFonts w:ascii="Times New Roman" w:hAnsi="Times New Roman"/>
          <w:i/>
          <w:sz w:val="24"/>
          <w:szCs w:val="24"/>
          <w:lang w:eastAsia="bg-BG"/>
        </w:rPr>
        <w:t>кандидатите</w:t>
      </w:r>
      <w:r w:rsidRPr="006B4448">
        <w:rPr>
          <w:rFonts w:ascii="Times New Roman" w:hAnsi="Times New Roman"/>
          <w:i/>
          <w:sz w:val="24"/>
          <w:szCs w:val="24"/>
          <w:lang w:eastAsia="bg-BG"/>
        </w:rPr>
        <w:t xml:space="preserve"> поема</w:t>
      </w:r>
      <w:r w:rsidR="00106E0F">
        <w:rPr>
          <w:rFonts w:ascii="Times New Roman" w:hAnsi="Times New Roman"/>
          <w:i/>
          <w:sz w:val="24"/>
          <w:szCs w:val="24"/>
          <w:lang w:eastAsia="bg-BG"/>
        </w:rPr>
        <w:t>т</w:t>
      </w:r>
      <w:r w:rsidRPr="006B4448">
        <w:rPr>
          <w:rFonts w:ascii="Times New Roman" w:hAnsi="Times New Roman"/>
          <w:i/>
          <w:sz w:val="24"/>
          <w:szCs w:val="24"/>
          <w:lang w:eastAsia="bg-BG"/>
        </w:rPr>
        <w:t xml:space="preserve"> безусловно задължение да не включва</w:t>
      </w:r>
      <w:r w:rsidR="00106E0F">
        <w:rPr>
          <w:rFonts w:ascii="Times New Roman" w:hAnsi="Times New Roman"/>
          <w:i/>
          <w:sz w:val="24"/>
          <w:szCs w:val="24"/>
          <w:lang w:eastAsia="bg-BG"/>
        </w:rPr>
        <w:t xml:space="preserve">т в проектите си </w:t>
      </w:r>
      <w:r w:rsidRPr="006B4448">
        <w:rPr>
          <w:rFonts w:ascii="Times New Roman" w:hAnsi="Times New Roman"/>
          <w:i/>
          <w:sz w:val="24"/>
          <w:szCs w:val="24"/>
          <w:lang w:eastAsia="bg-BG"/>
        </w:rPr>
        <w:t>ограниченията, предвидени</w:t>
      </w:r>
      <w:r w:rsidR="00106E0F">
        <w:rPr>
          <w:rFonts w:ascii="Times New Roman" w:hAnsi="Times New Roman"/>
          <w:i/>
          <w:sz w:val="24"/>
          <w:szCs w:val="24"/>
          <w:lang w:eastAsia="bg-BG"/>
        </w:rPr>
        <w:t xml:space="preserve"> в чл. 1, пар. 5 от Регламента, като </w:t>
      </w:r>
      <w:r w:rsidRPr="006B4448">
        <w:rPr>
          <w:rFonts w:ascii="Times New Roman" w:hAnsi="Times New Roman"/>
          <w:i/>
          <w:sz w:val="24"/>
          <w:szCs w:val="24"/>
          <w:lang w:eastAsia="bg-BG"/>
        </w:rPr>
        <w:t>представя</w:t>
      </w:r>
      <w:r w:rsidR="009D7346">
        <w:rPr>
          <w:rFonts w:ascii="Times New Roman" w:hAnsi="Times New Roman"/>
          <w:i/>
          <w:sz w:val="24"/>
          <w:szCs w:val="24"/>
          <w:lang w:eastAsia="bg-BG"/>
        </w:rPr>
        <w:t>т</w:t>
      </w:r>
      <w:r w:rsidRPr="006B4448">
        <w:rPr>
          <w:rFonts w:ascii="Times New Roman" w:hAnsi="Times New Roman"/>
          <w:i/>
          <w:sz w:val="24"/>
          <w:szCs w:val="24"/>
          <w:lang w:eastAsia="bg-BG"/>
        </w:rPr>
        <w:t xml:space="preserve"> декларация за изпълнението на това условие.</w:t>
      </w:r>
    </w:p>
    <w:p w14:paraId="36733706" w14:textId="367AA4AE" w:rsidR="001E7F4E" w:rsidRDefault="00FD4CC6" w:rsidP="00FD4CC6">
      <w:pPr>
        <w:autoSpaceDE w:val="0"/>
        <w:autoSpaceDN w:val="0"/>
        <w:adjustRightInd w:val="0"/>
        <w:spacing w:before="120" w:after="120" w:line="240" w:lineRule="auto"/>
        <w:ind w:firstLine="708"/>
        <w:jc w:val="both"/>
        <w:rPr>
          <w:rFonts w:ascii="Times New Roman" w:hAnsi="Times New Roman"/>
          <w:b/>
          <w:i/>
          <w:sz w:val="24"/>
          <w:szCs w:val="24"/>
          <w:lang w:eastAsia="bg-BG"/>
        </w:rPr>
      </w:pPr>
      <w:r w:rsidRPr="006B4448">
        <w:rPr>
          <w:rFonts w:ascii="Times New Roman" w:hAnsi="Times New Roman"/>
          <w:b/>
          <w:i/>
          <w:sz w:val="24"/>
          <w:szCs w:val="24"/>
          <w:lang w:eastAsia="bg-BG"/>
        </w:rPr>
        <w:t xml:space="preserve">Важно: при неизпълнение на поне едно от посочените в чл. 1 условия, проектът не може да бъде финансиран и помощта не се предоставя. За целта УО извършва проверка на обстоятелствата, декларирани от </w:t>
      </w:r>
      <w:r w:rsidR="00106E0F">
        <w:rPr>
          <w:rFonts w:ascii="Times New Roman" w:hAnsi="Times New Roman"/>
          <w:b/>
          <w:i/>
          <w:sz w:val="24"/>
          <w:szCs w:val="24"/>
          <w:lang w:eastAsia="bg-BG"/>
        </w:rPr>
        <w:t xml:space="preserve">всеки </w:t>
      </w:r>
      <w:r w:rsidR="00636401">
        <w:rPr>
          <w:rFonts w:ascii="Times New Roman" w:hAnsi="Times New Roman"/>
          <w:b/>
          <w:i/>
          <w:sz w:val="24"/>
          <w:szCs w:val="24"/>
          <w:lang w:eastAsia="bg-BG"/>
        </w:rPr>
        <w:t>кан</w:t>
      </w:r>
      <w:r w:rsidR="001220BD">
        <w:rPr>
          <w:rFonts w:ascii="Times New Roman" w:hAnsi="Times New Roman"/>
          <w:b/>
          <w:i/>
          <w:sz w:val="24"/>
          <w:szCs w:val="24"/>
          <w:lang w:eastAsia="bg-BG"/>
        </w:rPr>
        <w:t>д</w:t>
      </w:r>
      <w:r w:rsidR="00636401">
        <w:rPr>
          <w:rFonts w:ascii="Times New Roman" w:hAnsi="Times New Roman"/>
          <w:b/>
          <w:i/>
          <w:sz w:val="24"/>
          <w:szCs w:val="24"/>
          <w:lang w:eastAsia="bg-BG"/>
        </w:rPr>
        <w:t>идат.</w:t>
      </w:r>
    </w:p>
    <w:p w14:paraId="7D12A5A9" w14:textId="77777777" w:rsidR="00FD4CC6" w:rsidRPr="006B4448" w:rsidRDefault="00FD4CC6" w:rsidP="00FD4CC6">
      <w:pPr>
        <w:autoSpaceDE w:val="0"/>
        <w:autoSpaceDN w:val="0"/>
        <w:adjustRightInd w:val="0"/>
        <w:spacing w:before="120" w:after="120" w:line="240" w:lineRule="auto"/>
        <w:ind w:firstLine="708"/>
        <w:jc w:val="both"/>
        <w:rPr>
          <w:rFonts w:ascii="Times New Roman" w:hAnsi="Times New Roman"/>
          <w:b/>
          <w:i/>
          <w:sz w:val="24"/>
          <w:szCs w:val="24"/>
          <w:lang w:eastAsia="bg-BG"/>
        </w:rPr>
      </w:pPr>
    </w:p>
    <w:p w14:paraId="4F6A4558" w14:textId="77777777" w:rsidR="00FD4CC6" w:rsidRPr="006B4448" w:rsidRDefault="00FD4CC6" w:rsidP="00FD4CC6">
      <w:pPr>
        <w:autoSpaceDE w:val="0"/>
        <w:autoSpaceDN w:val="0"/>
        <w:adjustRightInd w:val="0"/>
        <w:spacing w:before="120" w:after="120" w:line="240" w:lineRule="auto"/>
        <w:ind w:firstLine="709"/>
        <w:jc w:val="both"/>
        <w:rPr>
          <w:rFonts w:ascii="Times New Roman" w:hAnsi="Times New Roman"/>
          <w:sz w:val="24"/>
          <w:szCs w:val="24"/>
          <w:lang w:eastAsia="bg-BG"/>
        </w:rPr>
      </w:pPr>
      <w:r w:rsidRPr="006B4448">
        <w:rPr>
          <w:rFonts w:ascii="Times New Roman" w:hAnsi="Times New Roman"/>
          <w:sz w:val="24"/>
          <w:szCs w:val="24"/>
          <w:lang w:eastAsia="bg-BG"/>
        </w:rPr>
        <w:t>Инфраструктурата, която ще бъде изградена следва да отговаря на определенията,  посочени в чл. 2, раздел „</w:t>
      </w:r>
      <w:r w:rsidR="001E7F4E">
        <w:rPr>
          <w:rFonts w:ascii="Times New Roman" w:hAnsi="Times New Roman"/>
          <w:sz w:val="24"/>
          <w:szCs w:val="24"/>
          <w:lang w:eastAsia="bg-BG"/>
        </w:rPr>
        <w:t>Определения за п</w:t>
      </w:r>
      <w:r w:rsidRPr="006B4448">
        <w:rPr>
          <w:rFonts w:ascii="Times New Roman" w:hAnsi="Times New Roman"/>
          <w:sz w:val="24"/>
          <w:szCs w:val="24"/>
          <w:lang w:eastAsia="bg-BG"/>
        </w:rPr>
        <w:t xml:space="preserve">омощи за </w:t>
      </w:r>
      <w:r w:rsidR="001E7F4E">
        <w:rPr>
          <w:rFonts w:ascii="Times New Roman" w:hAnsi="Times New Roman"/>
          <w:sz w:val="24"/>
          <w:szCs w:val="24"/>
          <w:lang w:eastAsia="bg-BG"/>
        </w:rPr>
        <w:t>опазване на околната среда“</w:t>
      </w:r>
      <w:r w:rsidRPr="006B4448">
        <w:rPr>
          <w:rFonts w:ascii="Times New Roman" w:hAnsi="Times New Roman"/>
          <w:sz w:val="24"/>
          <w:szCs w:val="24"/>
          <w:lang w:eastAsia="bg-BG"/>
        </w:rPr>
        <w:t xml:space="preserve"> от Регламент (ЕС) № </w:t>
      </w:r>
      <w:r w:rsidR="001E7F4E">
        <w:rPr>
          <w:rFonts w:ascii="Times New Roman" w:hAnsi="Times New Roman"/>
          <w:sz w:val="24"/>
          <w:szCs w:val="24"/>
          <w:lang w:eastAsia="bg-BG"/>
        </w:rPr>
        <w:t>1315</w:t>
      </w:r>
      <w:r w:rsidRPr="006B4448">
        <w:rPr>
          <w:rFonts w:ascii="Times New Roman" w:hAnsi="Times New Roman"/>
          <w:sz w:val="24"/>
          <w:szCs w:val="24"/>
          <w:lang w:eastAsia="bg-BG"/>
        </w:rPr>
        <w:t>/20</w:t>
      </w:r>
      <w:r w:rsidR="001E7F4E">
        <w:rPr>
          <w:rFonts w:ascii="Times New Roman" w:hAnsi="Times New Roman"/>
          <w:sz w:val="24"/>
          <w:szCs w:val="24"/>
          <w:lang w:eastAsia="bg-BG"/>
        </w:rPr>
        <w:t>23</w:t>
      </w:r>
      <w:r w:rsidR="00CE0E3B">
        <w:rPr>
          <w:rFonts w:ascii="Times New Roman" w:hAnsi="Times New Roman"/>
          <w:sz w:val="24"/>
          <w:szCs w:val="24"/>
          <w:lang w:eastAsia="bg-BG"/>
        </w:rPr>
        <w:t xml:space="preserve"> на Комисията, а именно:</w:t>
      </w:r>
    </w:p>
    <w:p w14:paraId="3AF33209" w14:textId="77777777" w:rsidR="00FD4CC6" w:rsidRPr="006B4448" w:rsidRDefault="001E7F4E" w:rsidP="001E7F4E">
      <w:pPr>
        <w:autoSpaceDE w:val="0"/>
        <w:autoSpaceDN w:val="0"/>
        <w:adjustRightInd w:val="0"/>
        <w:spacing w:before="120" w:after="120" w:line="240" w:lineRule="auto"/>
        <w:ind w:firstLine="567"/>
        <w:jc w:val="both"/>
        <w:rPr>
          <w:rFonts w:ascii="Times New Roman" w:hAnsi="Times New Roman"/>
          <w:sz w:val="24"/>
          <w:szCs w:val="24"/>
          <w:lang w:eastAsia="bg-BG"/>
        </w:rPr>
      </w:pPr>
      <w:r>
        <w:rPr>
          <w:rFonts w:ascii="Times New Roman" w:hAnsi="Times New Roman"/>
          <w:sz w:val="24"/>
          <w:szCs w:val="24"/>
          <w:lang w:eastAsia="bg-BG"/>
        </w:rPr>
        <w:t xml:space="preserve">101. </w:t>
      </w:r>
      <w:r w:rsidRPr="001E7F4E">
        <w:rPr>
          <w:rFonts w:ascii="Times New Roman" w:hAnsi="Times New Roman"/>
          <w:sz w:val="24"/>
          <w:szCs w:val="24"/>
          <w:lang w:eastAsia="bg-BG"/>
        </w:rPr>
        <w:t>„опазване на околната среда“ означава всяко действие и дейност, предприети с цел да се намали или предотврати замърсяване, отрицателно въздействие върху околната среда или друга вреда на заобикалящата физическа среда (включително на въздуха, водата и почвата), екосистемите или природните ресурси чрез дейността на човека, включително да се смекчат последиците от изменението на климата, да се намали рискът от такава вреда, да се опази или възстанови биологичното разнообразие или да се постигне по-ефективно използване на природните ресурси, включително мерките за икономия на енергия и използването на възобновяеми източници на енергия и на други техники за намаляване на емисиите на парникови газове и на други замърсяващи вещества, както и да се премине към модели на кръговата икономика с цел да се намали употребата на суровини и да се увеличи ефективността. Това обхваща действия, с които се укрепва капацитетът за адаптиране и се свежда до минимум уязвимостта по отношение на климатичните въздействия</w:t>
      </w:r>
      <w:r>
        <w:rPr>
          <w:rFonts w:ascii="Times New Roman" w:hAnsi="Times New Roman"/>
          <w:sz w:val="24"/>
          <w:szCs w:val="24"/>
          <w:lang w:eastAsia="bg-BG"/>
        </w:rPr>
        <w:t>;</w:t>
      </w:r>
    </w:p>
    <w:p w14:paraId="1ED360C8" w14:textId="77777777" w:rsidR="001E7F4E" w:rsidRPr="00072BD2" w:rsidRDefault="001E7F4E" w:rsidP="00072BD2">
      <w:pPr>
        <w:autoSpaceDE w:val="0"/>
        <w:autoSpaceDN w:val="0"/>
        <w:adjustRightInd w:val="0"/>
        <w:spacing w:before="120" w:after="120" w:line="240" w:lineRule="auto"/>
        <w:ind w:firstLine="567"/>
        <w:jc w:val="both"/>
        <w:rPr>
          <w:rFonts w:ascii="Times New Roman" w:hAnsi="Times New Roman"/>
          <w:sz w:val="24"/>
          <w:szCs w:val="24"/>
          <w:lang w:eastAsia="bg-BG"/>
        </w:rPr>
      </w:pPr>
      <w:r w:rsidRPr="00072BD2">
        <w:rPr>
          <w:rFonts w:ascii="Times New Roman" w:hAnsi="Times New Roman"/>
          <w:sz w:val="24"/>
          <w:szCs w:val="24"/>
          <w:lang w:eastAsia="bg-BG"/>
        </w:rPr>
        <w:t>102a „инфраструктура за зареждане с електроенергия“ означава фиксирана или мобилна инфраструктура, снабдяваща превозни средства, мобилно оборудване за обслужване на терминал или за наземно обслужване с електроенергия;</w:t>
      </w:r>
    </w:p>
    <w:p w14:paraId="2E34A682" w14:textId="77777777" w:rsidR="001E7F4E" w:rsidRPr="001E7F4E" w:rsidRDefault="001E7F4E" w:rsidP="00072BD2">
      <w:pPr>
        <w:autoSpaceDE w:val="0"/>
        <w:autoSpaceDN w:val="0"/>
        <w:adjustRightInd w:val="0"/>
        <w:spacing w:before="120" w:after="120" w:line="240" w:lineRule="auto"/>
        <w:ind w:firstLine="567"/>
        <w:jc w:val="both"/>
        <w:rPr>
          <w:rFonts w:ascii="Times New Roman" w:hAnsi="Times New Roman"/>
          <w:sz w:val="24"/>
          <w:szCs w:val="24"/>
          <w:lang w:eastAsia="bg-BG"/>
        </w:rPr>
      </w:pPr>
      <w:r w:rsidRPr="00072BD2">
        <w:rPr>
          <w:rFonts w:ascii="Times New Roman" w:hAnsi="Times New Roman"/>
          <w:sz w:val="24"/>
          <w:szCs w:val="24"/>
          <w:lang w:eastAsia="bg-BG"/>
        </w:rPr>
        <w:t xml:space="preserve">102г </w:t>
      </w:r>
      <w:r w:rsidRPr="001E7F4E">
        <w:rPr>
          <w:rFonts w:ascii="Times New Roman" w:hAnsi="Times New Roman"/>
          <w:sz w:val="24"/>
          <w:szCs w:val="24"/>
          <w:lang w:eastAsia="bg-BG"/>
        </w:rPr>
        <w:t>„електроенергия от възобновяеми източници“ означава електроенергия, генерирана от възобновяеми източници съгласно определението в член 2, точка (1) от Директива (ЕС) 2018/2001;</w:t>
      </w:r>
    </w:p>
    <w:p w14:paraId="34E49880" w14:textId="77777777" w:rsidR="001E7F4E" w:rsidRPr="001E7F4E" w:rsidRDefault="00072BD2" w:rsidP="00072BD2">
      <w:pPr>
        <w:autoSpaceDE w:val="0"/>
        <w:autoSpaceDN w:val="0"/>
        <w:adjustRightInd w:val="0"/>
        <w:spacing w:before="120" w:after="120" w:line="240" w:lineRule="auto"/>
        <w:ind w:firstLine="567"/>
        <w:jc w:val="both"/>
        <w:rPr>
          <w:rFonts w:ascii="Times New Roman" w:hAnsi="Times New Roman"/>
          <w:sz w:val="24"/>
          <w:szCs w:val="24"/>
          <w:lang w:eastAsia="bg-BG"/>
        </w:rPr>
      </w:pPr>
      <w:r w:rsidRPr="00072BD2">
        <w:rPr>
          <w:rFonts w:ascii="Times New Roman" w:hAnsi="Times New Roman"/>
          <w:sz w:val="24"/>
          <w:szCs w:val="24"/>
          <w:lang w:eastAsia="bg-BG"/>
        </w:rPr>
        <w:t xml:space="preserve">102д </w:t>
      </w:r>
      <w:r w:rsidR="001E7F4E" w:rsidRPr="001E7F4E">
        <w:rPr>
          <w:rFonts w:ascii="Times New Roman" w:hAnsi="Times New Roman"/>
          <w:sz w:val="24"/>
          <w:szCs w:val="24"/>
          <w:lang w:eastAsia="bg-BG"/>
        </w:rPr>
        <w:t>„интелигентно зареждане“ означава операция за зареждане с електроенергия, при която големината на тока, подаван на акумулаторната батерия, се регулира в реално време въз основа на информация, получена чрез електронни съобщения;</w:t>
      </w:r>
    </w:p>
    <w:p w14:paraId="40BB4715" w14:textId="6C27483F" w:rsidR="00FD4CC6" w:rsidRPr="006B4448" w:rsidRDefault="00BC433E" w:rsidP="00FD4CC6">
      <w:pPr>
        <w:autoSpaceDE w:val="0"/>
        <w:autoSpaceDN w:val="0"/>
        <w:adjustRightInd w:val="0"/>
        <w:spacing w:after="120" w:line="276" w:lineRule="auto"/>
        <w:ind w:firstLine="708"/>
        <w:jc w:val="both"/>
        <w:rPr>
          <w:rFonts w:ascii="Times New Roman" w:hAnsi="Times New Roman"/>
          <w:i/>
          <w:sz w:val="24"/>
          <w:szCs w:val="24"/>
          <w:lang w:eastAsia="bg-BG"/>
        </w:rPr>
      </w:pPr>
      <w:r>
        <w:rPr>
          <w:rFonts w:ascii="Times New Roman" w:hAnsi="Times New Roman"/>
          <w:i/>
          <w:sz w:val="24"/>
          <w:szCs w:val="24"/>
          <w:lang w:eastAsia="bg-BG"/>
        </w:rPr>
        <w:t xml:space="preserve">Кандидатите </w:t>
      </w:r>
      <w:r w:rsidR="00FD4CC6">
        <w:rPr>
          <w:rFonts w:ascii="Times New Roman" w:hAnsi="Times New Roman"/>
          <w:i/>
          <w:sz w:val="24"/>
          <w:szCs w:val="24"/>
          <w:lang w:eastAsia="bg-BG"/>
        </w:rPr>
        <w:t>се задължава</w:t>
      </w:r>
      <w:r w:rsidR="00072BD2">
        <w:rPr>
          <w:rFonts w:ascii="Times New Roman" w:hAnsi="Times New Roman"/>
          <w:i/>
          <w:sz w:val="24"/>
          <w:szCs w:val="24"/>
          <w:lang w:eastAsia="bg-BG"/>
        </w:rPr>
        <w:t>т</w:t>
      </w:r>
      <w:r w:rsidR="00FD4CC6">
        <w:rPr>
          <w:rFonts w:ascii="Times New Roman" w:hAnsi="Times New Roman"/>
          <w:i/>
          <w:sz w:val="24"/>
          <w:szCs w:val="24"/>
          <w:lang w:eastAsia="bg-BG"/>
        </w:rPr>
        <w:t xml:space="preserve"> предвидените дейности в </w:t>
      </w:r>
      <w:r w:rsidR="00FD4CC6" w:rsidRPr="006B4448">
        <w:rPr>
          <w:rFonts w:ascii="Times New Roman" w:hAnsi="Times New Roman"/>
          <w:i/>
          <w:sz w:val="24"/>
          <w:szCs w:val="24"/>
          <w:lang w:eastAsia="bg-BG"/>
        </w:rPr>
        <w:t xml:space="preserve">обхвата на проекта </w:t>
      </w:r>
      <w:r w:rsidR="00FD4CC6">
        <w:rPr>
          <w:rFonts w:ascii="Times New Roman" w:hAnsi="Times New Roman"/>
          <w:i/>
          <w:sz w:val="24"/>
          <w:szCs w:val="24"/>
          <w:lang w:eastAsia="bg-BG"/>
        </w:rPr>
        <w:t xml:space="preserve">да съответстват </w:t>
      </w:r>
      <w:r w:rsidR="00FD4CC6" w:rsidRPr="006B4448">
        <w:rPr>
          <w:rFonts w:ascii="Times New Roman" w:hAnsi="Times New Roman"/>
          <w:i/>
          <w:sz w:val="24"/>
          <w:szCs w:val="24"/>
          <w:lang w:eastAsia="bg-BG"/>
        </w:rPr>
        <w:t>на посочените определения</w:t>
      </w:r>
      <w:r w:rsidR="00FD4CC6">
        <w:rPr>
          <w:rFonts w:ascii="Times New Roman" w:hAnsi="Times New Roman"/>
          <w:i/>
          <w:sz w:val="24"/>
          <w:szCs w:val="24"/>
          <w:lang w:eastAsia="bg-BG"/>
        </w:rPr>
        <w:t>, а</w:t>
      </w:r>
      <w:r w:rsidR="00FD4CC6" w:rsidRPr="00785DBD">
        <w:rPr>
          <w:rFonts w:ascii="Times New Roman" w:hAnsi="Times New Roman"/>
          <w:i/>
          <w:sz w:val="24"/>
          <w:szCs w:val="24"/>
          <w:lang w:eastAsia="bg-BG"/>
        </w:rPr>
        <w:t xml:space="preserve"> </w:t>
      </w:r>
      <w:r w:rsidR="00FD4CC6" w:rsidRPr="006B4448">
        <w:rPr>
          <w:rFonts w:ascii="Times New Roman" w:hAnsi="Times New Roman"/>
          <w:i/>
          <w:sz w:val="24"/>
          <w:szCs w:val="24"/>
          <w:lang w:eastAsia="bg-BG"/>
        </w:rPr>
        <w:t>УО извършва проверка</w:t>
      </w:r>
      <w:r w:rsidR="00FD4CC6">
        <w:rPr>
          <w:rFonts w:ascii="Times New Roman" w:hAnsi="Times New Roman"/>
          <w:i/>
          <w:sz w:val="24"/>
          <w:szCs w:val="24"/>
          <w:lang w:eastAsia="bg-BG"/>
        </w:rPr>
        <w:t xml:space="preserve"> и при необходимост изисква допълнителни доказателства и/или становища от компетентни органи</w:t>
      </w:r>
      <w:r w:rsidR="00072BD2">
        <w:rPr>
          <w:rFonts w:ascii="Times New Roman" w:hAnsi="Times New Roman"/>
          <w:i/>
          <w:sz w:val="24"/>
          <w:szCs w:val="24"/>
          <w:lang w:eastAsia="bg-BG"/>
        </w:rPr>
        <w:t>.</w:t>
      </w:r>
    </w:p>
    <w:p w14:paraId="6BA2CFA3" w14:textId="2068CEFE" w:rsidR="00072BD2" w:rsidRPr="00B9135B" w:rsidRDefault="00FD4CC6" w:rsidP="00FD4CC6">
      <w:pPr>
        <w:autoSpaceDE w:val="0"/>
        <w:autoSpaceDN w:val="0"/>
        <w:adjustRightInd w:val="0"/>
        <w:spacing w:before="120" w:after="120" w:line="240" w:lineRule="auto"/>
        <w:ind w:firstLine="567"/>
        <w:jc w:val="both"/>
        <w:rPr>
          <w:rFonts w:ascii="Times New Roman" w:hAnsi="Times New Roman"/>
          <w:b/>
          <w:i/>
          <w:sz w:val="24"/>
          <w:szCs w:val="24"/>
          <w:lang w:eastAsia="bg-BG"/>
        </w:rPr>
      </w:pPr>
      <w:r w:rsidRPr="00696A1F">
        <w:rPr>
          <w:rFonts w:ascii="Times New Roman" w:hAnsi="Times New Roman"/>
          <w:b/>
          <w:i/>
          <w:sz w:val="24"/>
          <w:szCs w:val="24"/>
          <w:lang w:eastAsia="bg-BG"/>
        </w:rPr>
        <w:t xml:space="preserve">УО няма да финансира разходи, които се отнасят до дейности, </w:t>
      </w:r>
      <w:r w:rsidR="00072BD2" w:rsidRPr="00696A1F">
        <w:rPr>
          <w:rFonts w:ascii="Times New Roman" w:hAnsi="Times New Roman"/>
          <w:b/>
          <w:i/>
          <w:sz w:val="24"/>
          <w:szCs w:val="24"/>
          <w:lang w:eastAsia="bg-BG"/>
        </w:rPr>
        <w:t xml:space="preserve">които не са включени в </w:t>
      </w:r>
      <w:r w:rsidR="009F19CA" w:rsidRPr="00696A1F">
        <w:rPr>
          <w:rFonts w:ascii="Times New Roman" w:hAnsi="Times New Roman"/>
          <w:b/>
          <w:i/>
          <w:sz w:val="24"/>
          <w:szCs w:val="24"/>
          <w:lang w:eastAsia="bg-BG"/>
        </w:rPr>
        <w:t xml:space="preserve">Насоките за кандидатстване / допустими дейности/ в съответствие с </w:t>
      </w:r>
      <w:r w:rsidR="00072BD2" w:rsidRPr="00696A1F">
        <w:rPr>
          <w:rFonts w:ascii="Times New Roman" w:hAnsi="Times New Roman"/>
          <w:b/>
          <w:i/>
          <w:sz w:val="24"/>
          <w:szCs w:val="24"/>
          <w:lang w:eastAsia="bg-BG"/>
        </w:rPr>
        <w:t>ч</w:t>
      </w:r>
      <w:r w:rsidRPr="00696A1F">
        <w:rPr>
          <w:rFonts w:ascii="Times New Roman" w:hAnsi="Times New Roman"/>
          <w:b/>
          <w:i/>
          <w:sz w:val="24"/>
          <w:szCs w:val="24"/>
          <w:lang w:eastAsia="bg-BG"/>
        </w:rPr>
        <w:t xml:space="preserve">л. </w:t>
      </w:r>
      <w:r w:rsidR="00072BD2" w:rsidRPr="00696A1F">
        <w:rPr>
          <w:rFonts w:ascii="Times New Roman" w:hAnsi="Times New Roman"/>
          <w:b/>
          <w:i/>
          <w:sz w:val="24"/>
          <w:szCs w:val="24"/>
          <w:lang w:eastAsia="bg-BG"/>
        </w:rPr>
        <w:t>36а</w:t>
      </w:r>
      <w:r w:rsidRPr="00696A1F">
        <w:rPr>
          <w:rFonts w:ascii="Times New Roman" w:hAnsi="Times New Roman"/>
          <w:b/>
          <w:i/>
          <w:sz w:val="24"/>
          <w:szCs w:val="24"/>
          <w:lang w:eastAsia="bg-BG"/>
        </w:rPr>
        <w:t>, пар. 3</w:t>
      </w:r>
      <w:r w:rsidR="00B9135B" w:rsidRPr="00696A1F">
        <w:rPr>
          <w:rFonts w:ascii="Times New Roman" w:hAnsi="Times New Roman"/>
          <w:b/>
          <w:i/>
          <w:sz w:val="24"/>
          <w:szCs w:val="24"/>
          <w:lang w:eastAsia="bg-BG"/>
        </w:rPr>
        <w:t xml:space="preserve"> и които не изпълняват условията на чл. 36а, пар. 8</w:t>
      </w:r>
      <w:r w:rsidR="00EA31D3" w:rsidRPr="00696A1F">
        <w:rPr>
          <w:rFonts w:ascii="Times New Roman" w:hAnsi="Times New Roman"/>
          <w:b/>
          <w:i/>
          <w:sz w:val="24"/>
          <w:szCs w:val="24"/>
          <w:lang w:val="en-US" w:eastAsia="bg-BG"/>
        </w:rPr>
        <w:t xml:space="preserve"> </w:t>
      </w:r>
      <w:r w:rsidR="00EA31D3" w:rsidRPr="00696A1F">
        <w:rPr>
          <w:rFonts w:ascii="Times New Roman" w:hAnsi="Times New Roman"/>
          <w:b/>
          <w:i/>
          <w:sz w:val="24"/>
          <w:szCs w:val="24"/>
          <w:lang w:eastAsia="bg-BG"/>
        </w:rPr>
        <w:t xml:space="preserve">от </w:t>
      </w:r>
      <w:r w:rsidR="00696A1F" w:rsidRPr="00696A1F">
        <w:rPr>
          <w:rFonts w:ascii="Times New Roman" w:hAnsi="Times New Roman"/>
          <w:b/>
          <w:i/>
          <w:sz w:val="24"/>
          <w:szCs w:val="24"/>
          <w:lang w:eastAsia="bg-BG"/>
        </w:rPr>
        <w:t>Регламент № 651/2014 на Комисията</w:t>
      </w:r>
      <w:r w:rsidR="00072BD2" w:rsidRPr="00B9135B">
        <w:rPr>
          <w:rFonts w:ascii="Times New Roman" w:hAnsi="Times New Roman"/>
          <w:b/>
          <w:i/>
          <w:sz w:val="24"/>
          <w:szCs w:val="24"/>
          <w:lang w:eastAsia="bg-BG"/>
        </w:rPr>
        <w:t xml:space="preserve"> </w:t>
      </w:r>
    </w:p>
    <w:p w14:paraId="60048657" w14:textId="77777777" w:rsidR="00FD4CC6" w:rsidRDefault="00072BD2" w:rsidP="00FD4CC6">
      <w:pPr>
        <w:autoSpaceDE w:val="0"/>
        <w:autoSpaceDN w:val="0"/>
        <w:adjustRightInd w:val="0"/>
        <w:spacing w:before="120" w:after="120" w:line="240" w:lineRule="auto"/>
        <w:ind w:firstLine="567"/>
        <w:jc w:val="both"/>
        <w:rPr>
          <w:rFonts w:ascii="Times New Roman" w:hAnsi="Times New Roman"/>
          <w:b/>
          <w:i/>
          <w:sz w:val="24"/>
          <w:szCs w:val="24"/>
          <w:lang w:eastAsia="bg-BG"/>
        </w:rPr>
      </w:pPr>
      <w:r>
        <w:rPr>
          <w:rFonts w:ascii="Times New Roman" w:hAnsi="Times New Roman"/>
          <w:b/>
          <w:i/>
          <w:sz w:val="24"/>
          <w:szCs w:val="24"/>
          <w:lang w:eastAsia="bg-BG"/>
        </w:rPr>
        <w:t xml:space="preserve">При установяване на </w:t>
      </w:r>
      <w:r w:rsidR="00FD4CC6" w:rsidRPr="000256CF">
        <w:rPr>
          <w:rFonts w:ascii="Times New Roman" w:hAnsi="Times New Roman"/>
          <w:b/>
          <w:i/>
          <w:sz w:val="24"/>
          <w:szCs w:val="24"/>
          <w:lang w:eastAsia="bg-BG"/>
        </w:rPr>
        <w:t>недопустими</w:t>
      </w:r>
      <w:r>
        <w:rPr>
          <w:rFonts w:ascii="Times New Roman" w:hAnsi="Times New Roman"/>
          <w:b/>
          <w:i/>
          <w:sz w:val="24"/>
          <w:szCs w:val="24"/>
          <w:lang w:eastAsia="bg-BG"/>
        </w:rPr>
        <w:t xml:space="preserve"> дейности</w:t>
      </w:r>
      <w:r w:rsidR="00241B78">
        <w:rPr>
          <w:rFonts w:ascii="Times New Roman" w:hAnsi="Times New Roman"/>
          <w:b/>
          <w:i/>
          <w:sz w:val="24"/>
          <w:szCs w:val="24"/>
          <w:lang w:eastAsia="bg-BG"/>
        </w:rPr>
        <w:t xml:space="preserve"> и разходи</w:t>
      </w:r>
      <w:r>
        <w:rPr>
          <w:rFonts w:ascii="Times New Roman" w:hAnsi="Times New Roman"/>
          <w:b/>
          <w:i/>
          <w:sz w:val="24"/>
          <w:szCs w:val="24"/>
          <w:lang w:eastAsia="bg-BG"/>
        </w:rPr>
        <w:t xml:space="preserve"> при изпълнението на проекта</w:t>
      </w:r>
      <w:r w:rsidR="00FD4CC6" w:rsidRPr="000256CF">
        <w:rPr>
          <w:rFonts w:ascii="Times New Roman" w:hAnsi="Times New Roman"/>
          <w:b/>
          <w:i/>
          <w:sz w:val="24"/>
          <w:szCs w:val="24"/>
          <w:lang w:eastAsia="bg-BG"/>
        </w:rPr>
        <w:t xml:space="preserve"> те не се финансират от безвъзмездната финансова помощ, а УО извършва проверка.</w:t>
      </w:r>
    </w:p>
    <w:p w14:paraId="28A2A7A0" w14:textId="77777777" w:rsidR="007831AD" w:rsidRPr="007831AD" w:rsidRDefault="007831AD" w:rsidP="007831AD">
      <w:pPr>
        <w:shd w:val="clear" w:color="auto" w:fill="FFFFFF" w:themeFill="background1"/>
        <w:spacing w:before="120" w:after="120" w:line="276" w:lineRule="auto"/>
        <w:ind w:firstLine="567"/>
        <w:jc w:val="both"/>
        <w:rPr>
          <w:rFonts w:ascii="Times New Roman" w:hAnsi="Times New Roman"/>
          <w:sz w:val="24"/>
          <w:szCs w:val="24"/>
        </w:rPr>
      </w:pPr>
      <w:r w:rsidRPr="007831AD">
        <w:rPr>
          <w:rFonts w:ascii="Times New Roman" w:hAnsi="Times New Roman"/>
          <w:b/>
          <w:sz w:val="24"/>
          <w:szCs w:val="24"/>
        </w:rPr>
        <w:t>Член 3. Условия за освобождаване</w:t>
      </w:r>
    </w:p>
    <w:p w14:paraId="03056DCF" w14:textId="77777777" w:rsidR="00FD4CC6" w:rsidRDefault="00FD4CC6" w:rsidP="00FD4CC6">
      <w:pPr>
        <w:autoSpaceDE w:val="0"/>
        <w:autoSpaceDN w:val="0"/>
        <w:adjustRightInd w:val="0"/>
        <w:spacing w:before="120" w:after="120" w:line="240" w:lineRule="auto"/>
        <w:ind w:firstLine="567"/>
        <w:jc w:val="both"/>
        <w:rPr>
          <w:rFonts w:ascii="Times New Roman" w:hAnsi="Times New Roman"/>
          <w:sz w:val="24"/>
          <w:szCs w:val="24"/>
          <w:lang w:eastAsia="bg-BG"/>
        </w:rPr>
      </w:pPr>
      <w:r w:rsidRPr="006B4448">
        <w:rPr>
          <w:rFonts w:ascii="Times New Roman" w:hAnsi="Times New Roman"/>
          <w:sz w:val="24"/>
          <w:szCs w:val="24"/>
          <w:lang w:eastAsia="bg-BG"/>
        </w:rPr>
        <w:lastRenderedPageBreak/>
        <w:t>Съгласно разпоредбата на чл. 3 „Условия за освобождаване“, за да бъде предоставена безвъзмездната финансова помощ при изпълнението на дейностите по проекта следва да бъдат съблюдавани и спазвани всички условия, определени в Глава I „Общи разпоредби“ от Регламент (ЕС) №</w:t>
      </w:r>
      <w:r w:rsidR="007831AD">
        <w:rPr>
          <w:rFonts w:ascii="Times New Roman" w:hAnsi="Times New Roman"/>
          <w:sz w:val="24"/>
          <w:szCs w:val="24"/>
          <w:lang w:eastAsia="bg-BG"/>
        </w:rPr>
        <w:t xml:space="preserve"> 651/2014 на Комисията, както </w:t>
      </w:r>
      <w:r w:rsidRPr="006B4448">
        <w:rPr>
          <w:rFonts w:ascii="Times New Roman" w:hAnsi="Times New Roman"/>
          <w:sz w:val="24"/>
          <w:szCs w:val="24"/>
          <w:lang w:eastAsia="bg-BG"/>
        </w:rPr>
        <w:t xml:space="preserve">специалните условия за съответната категория помощи, посочени в чл. </w:t>
      </w:r>
      <w:r w:rsidR="00B73B9F">
        <w:rPr>
          <w:rFonts w:ascii="Times New Roman" w:hAnsi="Times New Roman"/>
          <w:sz w:val="24"/>
          <w:szCs w:val="24"/>
          <w:lang w:eastAsia="bg-BG"/>
        </w:rPr>
        <w:t>36а</w:t>
      </w:r>
      <w:r w:rsidR="007831AD">
        <w:rPr>
          <w:rFonts w:ascii="Times New Roman" w:hAnsi="Times New Roman"/>
          <w:sz w:val="24"/>
          <w:szCs w:val="24"/>
          <w:lang w:eastAsia="bg-BG"/>
        </w:rPr>
        <w:t xml:space="preserve"> от посочения Р</w:t>
      </w:r>
      <w:r w:rsidRPr="006B4448">
        <w:rPr>
          <w:rFonts w:ascii="Times New Roman" w:hAnsi="Times New Roman"/>
          <w:sz w:val="24"/>
          <w:szCs w:val="24"/>
          <w:lang w:eastAsia="bg-BG"/>
        </w:rPr>
        <w:t>егламент.</w:t>
      </w:r>
    </w:p>
    <w:p w14:paraId="02525906" w14:textId="77777777" w:rsidR="007831AD" w:rsidRPr="007831AD" w:rsidRDefault="007831AD" w:rsidP="007831AD">
      <w:pPr>
        <w:shd w:val="clear" w:color="auto" w:fill="FFFFFF" w:themeFill="background1"/>
        <w:spacing w:before="120" w:after="120" w:line="276" w:lineRule="auto"/>
        <w:ind w:firstLine="709"/>
        <w:jc w:val="both"/>
        <w:rPr>
          <w:rFonts w:ascii="Times New Roman" w:hAnsi="Times New Roman"/>
          <w:sz w:val="24"/>
          <w:szCs w:val="24"/>
        </w:rPr>
      </w:pPr>
      <w:r w:rsidRPr="007831AD">
        <w:rPr>
          <w:rFonts w:ascii="Times New Roman" w:hAnsi="Times New Roman"/>
          <w:sz w:val="24"/>
          <w:szCs w:val="24"/>
        </w:rPr>
        <w:t xml:space="preserve">В контекста на приложението на ОРГО се установява че помощта, чрез която ще се реализира проектът е в съответствие с всички условия, определени в глава I от настоящия регламент, и в този смисъл </w:t>
      </w:r>
      <w:r w:rsidRPr="007831AD">
        <w:rPr>
          <w:rFonts w:ascii="Times New Roman" w:hAnsi="Times New Roman"/>
          <w:b/>
          <w:sz w:val="24"/>
          <w:szCs w:val="24"/>
        </w:rPr>
        <w:t>отговоря на условията за освобождаване задължението за уведомяване по член 108, параграф 3</w:t>
      </w:r>
      <w:r w:rsidRPr="007831AD">
        <w:rPr>
          <w:rFonts w:ascii="Times New Roman" w:hAnsi="Times New Roman"/>
          <w:sz w:val="24"/>
          <w:szCs w:val="24"/>
        </w:rPr>
        <w:t xml:space="preserve"> от Договора</w:t>
      </w:r>
      <w:r w:rsidRPr="00BA6977">
        <w:rPr>
          <w:rFonts w:ascii="Times New Roman" w:hAnsi="Times New Roman"/>
          <w:sz w:val="24"/>
          <w:szCs w:val="24"/>
        </w:rPr>
        <w:t xml:space="preserve"> и като помощ </w:t>
      </w:r>
      <w:r w:rsidRPr="007831AD">
        <w:rPr>
          <w:rFonts w:ascii="Times New Roman" w:hAnsi="Times New Roman"/>
          <w:sz w:val="24"/>
          <w:szCs w:val="24"/>
        </w:rPr>
        <w:t>е съвместима с вътрешния пазар по смисъла на член 107, параграф 3 от Договора.</w:t>
      </w:r>
    </w:p>
    <w:p w14:paraId="2C2DDED9" w14:textId="77777777" w:rsidR="00FD4CC6" w:rsidRPr="006B4448" w:rsidRDefault="00FD4CC6" w:rsidP="00FD4CC6">
      <w:pPr>
        <w:autoSpaceDE w:val="0"/>
        <w:autoSpaceDN w:val="0"/>
        <w:adjustRightInd w:val="0"/>
        <w:spacing w:before="120" w:after="120" w:line="240" w:lineRule="auto"/>
        <w:ind w:firstLine="567"/>
        <w:jc w:val="both"/>
        <w:rPr>
          <w:rFonts w:ascii="Times New Roman" w:hAnsi="Times New Roman"/>
          <w:b/>
          <w:i/>
          <w:sz w:val="24"/>
          <w:szCs w:val="24"/>
          <w:lang w:eastAsia="bg-BG"/>
        </w:rPr>
      </w:pPr>
      <w:r w:rsidRPr="006B4448">
        <w:rPr>
          <w:rFonts w:ascii="Times New Roman" w:hAnsi="Times New Roman"/>
          <w:b/>
          <w:i/>
          <w:sz w:val="24"/>
          <w:szCs w:val="24"/>
          <w:lang w:eastAsia="bg-BG"/>
        </w:rPr>
        <w:t>При установяване от УО на липса или несъответствие на условията по чл. 3 от Регламент (ЕС) № 651/2014 не се предоставя безвъзмездната финансова помощ.</w:t>
      </w:r>
    </w:p>
    <w:p w14:paraId="76CB06FC" w14:textId="77777777" w:rsidR="00FD4CC6" w:rsidRPr="006B4448" w:rsidRDefault="007831AD" w:rsidP="00FD4CC6">
      <w:pPr>
        <w:autoSpaceDE w:val="0"/>
        <w:autoSpaceDN w:val="0"/>
        <w:adjustRightInd w:val="0"/>
        <w:spacing w:before="120" w:after="120" w:line="240" w:lineRule="auto"/>
        <w:ind w:firstLine="708"/>
        <w:jc w:val="both"/>
        <w:rPr>
          <w:rFonts w:ascii="Times New Roman" w:hAnsi="Times New Roman"/>
          <w:b/>
          <w:sz w:val="24"/>
          <w:szCs w:val="24"/>
          <w:lang w:eastAsia="bg-BG"/>
        </w:rPr>
      </w:pPr>
      <w:r>
        <w:rPr>
          <w:rFonts w:ascii="Times New Roman" w:hAnsi="Times New Roman"/>
          <w:b/>
          <w:sz w:val="24"/>
          <w:szCs w:val="24"/>
          <w:lang w:eastAsia="bg-BG"/>
        </w:rPr>
        <w:t xml:space="preserve">Чл. 4 </w:t>
      </w:r>
      <w:r w:rsidR="00FD4CC6" w:rsidRPr="006B4448">
        <w:rPr>
          <w:rFonts w:ascii="Times New Roman" w:hAnsi="Times New Roman"/>
          <w:b/>
          <w:sz w:val="24"/>
          <w:szCs w:val="24"/>
          <w:lang w:eastAsia="bg-BG"/>
        </w:rPr>
        <w:t xml:space="preserve">Прагове за уведомяване: </w:t>
      </w:r>
    </w:p>
    <w:p w14:paraId="65D7FA24" w14:textId="68BF7BEA" w:rsidR="00E67627" w:rsidRPr="00E67627" w:rsidRDefault="00241B78" w:rsidP="00241B78">
      <w:pPr>
        <w:autoSpaceDE w:val="0"/>
        <w:autoSpaceDN w:val="0"/>
        <w:adjustRightInd w:val="0"/>
        <w:spacing w:after="0" w:line="240" w:lineRule="auto"/>
        <w:ind w:firstLine="708"/>
        <w:jc w:val="both"/>
        <w:rPr>
          <w:rFonts w:ascii="EUAlbertina" w:eastAsiaTheme="minorHAnsi" w:hAnsi="EUAlbertina" w:cs="EUAlbertina"/>
          <w:color w:val="000000"/>
          <w:sz w:val="19"/>
          <w:szCs w:val="19"/>
        </w:rPr>
      </w:pPr>
      <w:r>
        <w:rPr>
          <w:rFonts w:ascii="EUAlbertina" w:eastAsiaTheme="minorHAnsi" w:hAnsi="EUAlbertina" w:cs="EUAlbertina"/>
          <w:color w:val="000000"/>
          <w:sz w:val="24"/>
          <w:szCs w:val="24"/>
        </w:rPr>
        <w:t>Съгласно чл. 4. пар. 1, т.</w:t>
      </w:r>
      <w:r w:rsidR="00E67627">
        <w:rPr>
          <w:rFonts w:ascii="EUAlbertina" w:eastAsiaTheme="minorHAnsi" w:hAnsi="EUAlbertina" w:cs="EUAlbertina"/>
          <w:color w:val="000000"/>
          <w:sz w:val="24"/>
          <w:szCs w:val="24"/>
        </w:rPr>
        <w:t xml:space="preserve"> „т</w:t>
      </w:r>
      <w:r w:rsidR="00BC433E">
        <w:rPr>
          <w:rFonts w:ascii="EUAlbertina" w:eastAsiaTheme="minorHAnsi" w:hAnsi="EUAlbertina" w:cs="EUAlbertina"/>
          <w:color w:val="000000"/>
          <w:sz w:val="24"/>
          <w:szCs w:val="24"/>
        </w:rPr>
        <w:t>.</w:t>
      </w:r>
      <w:r w:rsidR="00E67627">
        <w:rPr>
          <w:rFonts w:ascii="EUAlbertina" w:eastAsiaTheme="minorHAnsi" w:hAnsi="EUAlbertina" w:cs="EUAlbertina"/>
          <w:color w:val="000000"/>
          <w:sz w:val="24"/>
          <w:szCs w:val="24"/>
        </w:rPr>
        <w:t>б“</w:t>
      </w:r>
      <w:r w:rsidR="00ED111B">
        <w:rPr>
          <w:rFonts w:ascii="EUAlbertina" w:eastAsiaTheme="minorHAnsi" w:hAnsi="EUAlbertina" w:cs="EUAlbertina"/>
          <w:color w:val="000000"/>
          <w:sz w:val="24"/>
          <w:szCs w:val="24"/>
        </w:rPr>
        <w:t xml:space="preserve">, </w:t>
      </w:r>
      <w:r w:rsidR="007831AD">
        <w:rPr>
          <w:rFonts w:ascii="EUAlbertina" w:eastAsiaTheme="minorHAnsi" w:hAnsi="EUAlbertina" w:cs="EUAlbertina"/>
          <w:color w:val="000000"/>
          <w:sz w:val="24"/>
          <w:szCs w:val="24"/>
        </w:rPr>
        <w:t>Р</w:t>
      </w:r>
      <w:r>
        <w:rPr>
          <w:rFonts w:ascii="EUAlbertina" w:eastAsiaTheme="minorHAnsi" w:hAnsi="EUAlbertina" w:cs="EUAlbertina"/>
          <w:color w:val="000000"/>
          <w:sz w:val="24"/>
          <w:szCs w:val="24"/>
        </w:rPr>
        <w:t xml:space="preserve">егламент </w:t>
      </w:r>
      <w:r w:rsidR="007831AD">
        <w:rPr>
          <w:rFonts w:ascii="EUAlbertina" w:eastAsiaTheme="minorHAnsi" w:hAnsi="EUAlbertina" w:cs="EUAlbertina"/>
          <w:color w:val="000000"/>
          <w:sz w:val="24"/>
          <w:szCs w:val="24"/>
        </w:rPr>
        <w:t>651</w:t>
      </w:r>
      <w:r>
        <w:rPr>
          <w:rFonts w:ascii="EUAlbertina" w:eastAsiaTheme="minorHAnsi" w:hAnsi="EUAlbertina" w:cs="EUAlbertina"/>
          <w:color w:val="000000"/>
          <w:sz w:val="24"/>
          <w:szCs w:val="24"/>
        </w:rPr>
        <w:t>/20</w:t>
      </w:r>
      <w:r w:rsidR="007831AD">
        <w:rPr>
          <w:rFonts w:ascii="EUAlbertina" w:eastAsiaTheme="minorHAnsi" w:hAnsi="EUAlbertina" w:cs="EUAlbertina"/>
          <w:color w:val="000000"/>
          <w:sz w:val="24"/>
          <w:szCs w:val="24"/>
        </w:rPr>
        <w:t>14</w:t>
      </w:r>
      <w:r>
        <w:rPr>
          <w:rFonts w:ascii="EUAlbertina" w:eastAsiaTheme="minorHAnsi" w:hAnsi="EUAlbertina" w:cs="EUAlbertina"/>
          <w:color w:val="000000"/>
          <w:sz w:val="24"/>
          <w:szCs w:val="24"/>
        </w:rPr>
        <w:t xml:space="preserve"> не се прилага</w:t>
      </w:r>
      <w:r w:rsidR="00E67627">
        <w:rPr>
          <w:rFonts w:ascii="EUAlbertina" w:eastAsiaTheme="minorHAnsi" w:hAnsi="EUAlbertina" w:cs="EUAlbertina"/>
          <w:color w:val="000000"/>
          <w:sz w:val="24"/>
          <w:szCs w:val="24"/>
        </w:rPr>
        <w:t xml:space="preserve"> </w:t>
      </w:r>
      <w:r w:rsidR="00E67627" w:rsidRPr="00E67627">
        <w:rPr>
          <w:rFonts w:ascii="Times New Roman" w:eastAsiaTheme="minorHAnsi" w:hAnsi="Times New Roman"/>
          <w:color w:val="000000"/>
          <w:sz w:val="24"/>
          <w:szCs w:val="24"/>
        </w:rPr>
        <w:t xml:space="preserve">за инвестиционни помощи за инфраструктура за зареждане с електроенергия, </w:t>
      </w:r>
      <w:r w:rsidR="00FF6A19">
        <w:rPr>
          <w:rFonts w:ascii="Times New Roman" w:eastAsiaTheme="minorHAnsi" w:hAnsi="Times New Roman"/>
          <w:color w:val="000000"/>
          <w:sz w:val="24"/>
          <w:szCs w:val="24"/>
        </w:rPr>
        <w:t xml:space="preserve">надхвърлящи праговете, </w:t>
      </w:r>
      <w:r w:rsidR="00E67627" w:rsidRPr="00E67627">
        <w:rPr>
          <w:rFonts w:ascii="Times New Roman" w:eastAsiaTheme="minorHAnsi" w:hAnsi="Times New Roman"/>
          <w:color w:val="000000"/>
          <w:sz w:val="24"/>
          <w:szCs w:val="24"/>
        </w:rPr>
        <w:t>посочени в член 36а, параграфи 1 и 2: 30 милиона евро на предприятие за проект и, в случай на схеми, среден год</w:t>
      </w:r>
      <w:r w:rsidR="007831AD">
        <w:rPr>
          <w:rFonts w:ascii="Times New Roman" w:eastAsiaTheme="minorHAnsi" w:hAnsi="Times New Roman"/>
          <w:color w:val="000000"/>
          <w:sz w:val="24"/>
          <w:szCs w:val="24"/>
        </w:rPr>
        <w:t>ишен бюджет от 300 милиона евро.</w:t>
      </w:r>
    </w:p>
    <w:p w14:paraId="29A41604" w14:textId="77777777" w:rsidR="00E67627" w:rsidRPr="00E67627" w:rsidRDefault="00E67627" w:rsidP="00E67627">
      <w:pPr>
        <w:autoSpaceDE w:val="0"/>
        <w:autoSpaceDN w:val="0"/>
        <w:adjustRightInd w:val="0"/>
        <w:spacing w:after="0" w:line="240" w:lineRule="auto"/>
        <w:rPr>
          <w:rFonts w:ascii="EUAlbertina" w:eastAsiaTheme="minorHAnsi" w:hAnsi="EUAlbertina" w:cs="EUAlbertina"/>
          <w:color w:val="000000"/>
          <w:sz w:val="19"/>
          <w:szCs w:val="19"/>
        </w:rPr>
      </w:pPr>
    </w:p>
    <w:p w14:paraId="16ED5040" w14:textId="68BEF0B8" w:rsidR="007831AD" w:rsidRDefault="007831AD" w:rsidP="007831AD">
      <w:pPr>
        <w:spacing w:before="120" w:after="120" w:line="276" w:lineRule="auto"/>
        <w:ind w:firstLine="709"/>
        <w:jc w:val="both"/>
        <w:rPr>
          <w:rFonts w:ascii="Times New Roman" w:hAnsi="Times New Roman"/>
          <w:sz w:val="24"/>
          <w:szCs w:val="24"/>
        </w:rPr>
      </w:pPr>
      <w:r w:rsidRPr="007831AD">
        <w:rPr>
          <w:rFonts w:ascii="Times New Roman" w:hAnsi="Times New Roman"/>
          <w:b/>
          <w:sz w:val="24"/>
          <w:szCs w:val="24"/>
        </w:rPr>
        <w:t>Общата стойност</w:t>
      </w:r>
      <w:r w:rsidRPr="007831AD">
        <w:rPr>
          <w:rFonts w:ascii="Times New Roman" w:hAnsi="Times New Roman"/>
          <w:sz w:val="24"/>
          <w:szCs w:val="24"/>
        </w:rPr>
        <w:t xml:space="preserve"> на </w:t>
      </w:r>
      <w:r w:rsidR="00BC433E">
        <w:rPr>
          <w:rFonts w:ascii="Times New Roman" w:hAnsi="Times New Roman"/>
          <w:sz w:val="24"/>
          <w:szCs w:val="24"/>
        </w:rPr>
        <w:t xml:space="preserve">двете </w:t>
      </w:r>
      <w:r w:rsidR="00DC3C6D">
        <w:rPr>
          <w:rFonts w:ascii="Times New Roman" w:hAnsi="Times New Roman"/>
          <w:sz w:val="24"/>
          <w:szCs w:val="24"/>
        </w:rPr>
        <w:t>процедур</w:t>
      </w:r>
      <w:r w:rsidR="00BC433E">
        <w:rPr>
          <w:rFonts w:ascii="Times New Roman" w:hAnsi="Times New Roman"/>
          <w:sz w:val="24"/>
          <w:szCs w:val="24"/>
        </w:rPr>
        <w:t>и за и</w:t>
      </w:r>
      <w:r w:rsidRPr="007831AD">
        <w:rPr>
          <w:rFonts w:ascii="Times New Roman" w:hAnsi="Times New Roman"/>
          <w:sz w:val="24"/>
          <w:szCs w:val="24"/>
        </w:rPr>
        <w:t xml:space="preserve">зграждане на </w:t>
      </w:r>
      <w:r>
        <w:rPr>
          <w:rFonts w:ascii="Times New Roman" w:hAnsi="Times New Roman"/>
          <w:sz w:val="24"/>
          <w:szCs w:val="24"/>
        </w:rPr>
        <w:t>зарядна инфраструктура</w:t>
      </w:r>
      <w:r w:rsidR="00BC433E">
        <w:rPr>
          <w:rFonts w:ascii="Times New Roman" w:hAnsi="Times New Roman"/>
          <w:sz w:val="24"/>
          <w:szCs w:val="24"/>
        </w:rPr>
        <w:t xml:space="preserve"> по пътищата </w:t>
      </w:r>
      <w:r w:rsidRPr="007831AD">
        <w:rPr>
          <w:rFonts w:ascii="Times New Roman" w:hAnsi="Times New Roman"/>
          <w:sz w:val="24"/>
          <w:szCs w:val="24"/>
        </w:rPr>
        <w:t xml:space="preserve">е </w:t>
      </w:r>
      <w:r w:rsidR="008E1BF5">
        <w:rPr>
          <w:rFonts w:ascii="Times New Roman" w:hAnsi="Times New Roman"/>
          <w:sz w:val="24"/>
          <w:szCs w:val="24"/>
          <w:lang w:val="en-US"/>
        </w:rPr>
        <w:t>15,1</w:t>
      </w:r>
      <w:r w:rsidRPr="00B9135B">
        <w:rPr>
          <w:rFonts w:ascii="Times New Roman" w:hAnsi="Times New Roman"/>
          <w:sz w:val="24"/>
          <w:szCs w:val="24"/>
        </w:rPr>
        <w:t xml:space="preserve"> млн.</w:t>
      </w:r>
      <w:r>
        <w:rPr>
          <w:rFonts w:ascii="Times New Roman" w:hAnsi="Times New Roman"/>
          <w:sz w:val="24"/>
          <w:szCs w:val="24"/>
        </w:rPr>
        <w:t xml:space="preserve"> </w:t>
      </w:r>
      <w:r w:rsidR="00793D4D">
        <w:rPr>
          <w:rFonts w:ascii="Times New Roman" w:hAnsi="Times New Roman"/>
          <w:sz w:val="24"/>
          <w:szCs w:val="24"/>
        </w:rPr>
        <w:t>евро</w:t>
      </w:r>
      <w:r w:rsidRPr="00ED111B">
        <w:rPr>
          <w:rFonts w:ascii="Times New Roman" w:hAnsi="Times New Roman"/>
          <w:sz w:val="24"/>
          <w:szCs w:val="24"/>
        </w:rPr>
        <w:t>,</w:t>
      </w:r>
      <w:r w:rsidRPr="007831AD">
        <w:rPr>
          <w:rFonts w:ascii="Times New Roman" w:hAnsi="Times New Roman"/>
          <w:sz w:val="24"/>
          <w:szCs w:val="24"/>
        </w:rPr>
        <w:t xml:space="preserve"> като се очаква финансиране от Приоритет 3 </w:t>
      </w:r>
      <w:r w:rsidR="00B9135B">
        <w:rPr>
          <w:rFonts w:ascii="Times New Roman" w:hAnsi="Times New Roman"/>
          <w:sz w:val="24"/>
          <w:szCs w:val="24"/>
        </w:rPr>
        <w:t xml:space="preserve">на </w:t>
      </w:r>
      <w:r w:rsidRPr="007831AD">
        <w:rPr>
          <w:rFonts w:ascii="Times New Roman" w:hAnsi="Times New Roman"/>
          <w:sz w:val="24"/>
          <w:szCs w:val="24"/>
        </w:rPr>
        <w:t>Програма „Транспортна свързаност“ 2021-2027</w:t>
      </w:r>
      <w:r w:rsidR="00A10CA3">
        <w:rPr>
          <w:rFonts w:ascii="Times New Roman" w:hAnsi="Times New Roman"/>
          <w:sz w:val="24"/>
          <w:szCs w:val="24"/>
        </w:rPr>
        <w:t xml:space="preserve"> г., като е </w:t>
      </w:r>
      <w:r>
        <w:rPr>
          <w:rFonts w:ascii="Times New Roman" w:hAnsi="Times New Roman"/>
          <w:sz w:val="24"/>
          <w:szCs w:val="24"/>
        </w:rPr>
        <w:t xml:space="preserve">предвидено максималната помощ отпускана на предприятие за проект да не надвишава </w:t>
      </w:r>
      <w:r w:rsidR="00793D4D">
        <w:rPr>
          <w:rFonts w:ascii="Times New Roman" w:hAnsi="Times New Roman"/>
          <w:b/>
          <w:sz w:val="24"/>
          <w:szCs w:val="24"/>
          <w:u w:val="single"/>
        </w:rPr>
        <w:t>256 000,00</w:t>
      </w:r>
      <w:r w:rsidR="00EE5029" w:rsidRPr="00954DB6">
        <w:rPr>
          <w:rFonts w:ascii="Times New Roman" w:hAnsi="Times New Roman"/>
          <w:b/>
          <w:sz w:val="24"/>
          <w:szCs w:val="24"/>
          <w:u w:val="single"/>
          <w:lang w:val="en-US"/>
        </w:rPr>
        <w:t xml:space="preserve"> </w:t>
      </w:r>
      <w:r w:rsidR="00793D4D">
        <w:rPr>
          <w:rFonts w:ascii="Times New Roman" w:hAnsi="Times New Roman"/>
          <w:b/>
          <w:sz w:val="24"/>
          <w:szCs w:val="24"/>
          <w:u w:val="single"/>
        </w:rPr>
        <w:t>евро</w:t>
      </w:r>
      <w:r>
        <w:rPr>
          <w:rFonts w:ascii="Times New Roman" w:hAnsi="Times New Roman"/>
          <w:sz w:val="24"/>
          <w:szCs w:val="24"/>
        </w:rPr>
        <w:t>.</w:t>
      </w:r>
    </w:p>
    <w:p w14:paraId="292C74F4" w14:textId="0556A629" w:rsidR="007831AD" w:rsidRPr="007831AD" w:rsidRDefault="007831AD" w:rsidP="007831AD">
      <w:pPr>
        <w:spacing w:before="120" w:after="120" w:line="276" w:lineRule="auto"/>
        <w:ind w:firstLine="709"/>
        <w:jc w:val="both"/>
        <w:rPr>
          <w:rFonts w:ascii="Times New Roman" w:hAnsi="Times New Roman"/>
          <w:sz w:val="24"/>
          <w:szCs w:val="24"/>
        </w:rPr>
      </w:pPr>
      <w:r>
        <w:rPr>
          <w:rFonts w:ascii="Times New Roman" w:hAnsi="Times New Roman"/>
          <w:b/>
          <w:sz w:val="24"/>
          <w:szCs w:val="24"/>
        </w:rPr>
        <w:t>С оглед на гореизложеното п</w:t>
      </w:r>
      <w:r w:rsidRPr="007831AD">
        <w:rPr>
          <w:rFonts w:ascii="Times New Roman" w:hAnsi="Times New Roman"/>
          <w:b/>
          <w:sz w:val="24"/>
          <w:szCs w:val="24"/>
        </w:rPr>
        <w:t>омощта, която попада в обхвата на държавна помощ</w:t>
      </w:r>
      <w:r w:rsidRPr="007831AD">
        <w:rPr>
          <w:rFonts w:ascii="Times New Roman" w:hAnsi="Times New Roman"/>
          <w:sz w:val="24"/>
          <w:szCs w:val="24"/>
        </w:rPr>
        <w:t xml:space="preserve"> и е част от общото финансиране за реализиране на проекта </w:t>
      </w:r>
      <w:r w:rsidR="00035D8D">
        <w:rPr>
          <w:rFonts w:ascii="Times New Roman" w:hAnsi="Times New Roman"/>
          <w:sz w:val="24"/>
          <w:szCs w:val="24"/>
        </w:rPr>
        <w:t>з</w:t>
      </w:r>
      <w:r w:rsidRPr="007831AD">
        <w:rPr>
          <w:rFonts w:ascii="Times New Roman" w:hAnsi="Times New Roman"/>
          <w:sz w:val="24"/>
          <w:szCs w:val="24"/>
        </w:rPr>
        <w:t xml:space="preserve">а </w:t>
      </w:r>
      <w:r w:rsidR="00035D8D">
        <w:rPr>
          <w:rFonts w:ascii="Times New Roman" w:hAnsi="Times New Roman"/>
          <w:sz w:val="24"/>
          <w:szCs w:val="24"/>
        </w:rPr>
        <w:t xml:space="preserve">зарядна инфраструктура </w:t>
      </w:r>
      <w:r w:rsidRPr="007831AD">
        <w:rPr>
          <w:rFonts w:ascii="Times New Roman" w:hAnsi="Times New Roman"/>
          <w:b/>
          <w:sz w:val="24"/>
          <w:szCs w:val="24"/>
        </w:rPr>
        <w:t xml:space="preserve">не надхвърля определения праг за допустими разходи </w:t>
      </w:r>
      <w:r w:rsidR="00035D8D">
        <w:rPr>
          <w:rFonts w:ascii="Times New Roman" w:hAnsi="Times New Roman"/>
          <w:b/>
          <w:sz w:val="24"/>
          <w:szCs w:val="24"/>
        </w:rPr>
        <w:t xml:space="preserve">съгл. </w:t>
      </w:r>
      <w:r w:rsidR="00035D8D">
        <w:rPr>
          <w:rFonts w:ascii="EUAlbertina" w:eastAsiaTheme="minorHAnsi" w:hAnsi="EUAlbertina" w:cs="EUAlbertina"/>
          <w:color w:val="000000"/>
          <w:sz w:val="24"/>
          <w:szCs w:val="24"/>
        </w:rPr>
        <w:t>чл. 4. пар. 1, т. „тб“</w:t>
      </w:r>
      <w:r w:rsidRPr="007831AD">
        <w:rPr>
          <w:rFonts w:ascii="Times New Roman" w:hAnsi="Times New Roman"/>
          <w:sz w:val="24"/>
          <w:szCs w:val="24"/>
        </w:rPr>
        <w:t xml:space="preserve"> и съответно </w:t>
      </w:r>
      <w:r w:rsidRPr="007831AD">
        <w:rPr>
          <w:rFonts w:ascii="Times New Roman" w:hAnsi="Times New Roman"/>
          <w:b/>
          <w:sz w:val="24"/>
          <w:szCs w:val="24"/>
        </w:rPr>
        <w:t xml:space="preserve">не е необходимо уведомяване по реда член 108, параграф 3 </w:t>
      </w:r>
      <w:r w:rsidRPr="007831AD">
        <w:rPr>
          <w:rFonts w:ascii="Times New Roman" w:hAnsi="Times New Roman"/>
          <w:sz w:val="24"/>
          <w:szCs w:val="24"/>
        </w:rPr>
        <w:t xml:space="preserve">от Договора за преценка на съвместимостта на помощта и възможността за предоставянето й. </w:t>
      </w:r>
    </w:p>
    <w:p w14:paraId="298F75FB" w14:textId="77777777" w:rsidR="00FD4CC6" w:rsidRPr="006B4448" w:rsidRDefault="00FD4CC6" w:rsidP="00FD4CC6">
      <w:pPr>
        <w:autoSpaceDE w:val="0"/>
        <w:autoSpaceDN w:val="0"/>
        <w:adjustRightInd w:val="0"/>
        <w:spacing w:before="120" w:after="120" w:line="240" w:lineRule="auto"/>
        <w:ind w:firstLine="708"/>
        <w:jc w:val="both"/>
        <w:rPr>
          <w:rFonts w:ascii="Times New Roman" w:hAnsi="Times New Roman"/>
          <w:sz w:val="24"/>
          <w:szCs w:val="24"/>
          <w:lang w:eastAsia="bg-BG"/>
        </w:rPr>
      </w:pPr>
      <w:r w:rsidRPr="006B4448">
        <w:rPr>
          <w:rFonts w:ascii="Times New Roman" w:hAnsi="Times New Roman"/>
          <w:sz w:val="24"/>
          <w:szCs w:val="24"/>
          <w:lang w:eastAsia="bg-BG"/>
        </w:rPr>
        <w:t>С оглед спазване на изискването на чл. 4, пар. 2 от Регламент (ЕС) № 651/2014 конкретният бенефиц</w:t>
      </w:r>
      <w:r w:rsidR="00B9135B">
        <w:rPr>
          <w:rFonts w:ascii="Times New Roman" w:hAnsi="Times New Roman"/>
          <w:sz w:val="24"/>
          <w:szCs w:val="24"/>
          <w:lang w:eastAsia="bg-BG"/>
        </w:rPr>
        <w:t>и</w:t>
      </w:r>
      <w:r w:rsidRPr="006B4448">
        <w:rPr>
          <w:rFonts w:ascii="Times New Roman" w:hAnsi="Times New Roman"/>
          <w:sz w:val="24"/>
          <w:szCs w:val="24"/>
          <w:lang w:eastAsia="bg-BG"/>
        </w:rPr>
        <w:t xml:space="preserve">ент следва да декларира пред </w:t>
      </w:r>
      <w:r w:rsidR="00A10CA3">
        <w:rPr>
          <w:rFonts w:ascii="Times New Roman" w:hAnsi="Times New Roman"/>
          <w:sz w:val="24"/>
          <w:szCs w:val="24"/>
          <w:lang w:eastAsia="bg-BG"/>
        </w:rPr>
        <w:t>УО на ПТС</w:t>
      </w:r>
      <w:r w:rsidRPr="006B4448">
        <w:rPr>
          <w:rFonts w:ascii="Times New Roman" w:hAnsi="Times New Roman"/>
          <w:sz w:val="24"/>
          <w:szCs w:val="24"/>
          <w:lang w:eastAsia="bg-BG"/>
        </w:rPr>
        <w:t>, че проектът не е част и/или не е свързан с друг проект.</w:t>
      </w:r>
    </w:p>
    <w:p w14:paraId="7FADE0A4" w14:textId="77777777" w:rsidR="00FD4CC6" w:rsidRPr="006B4448" w:rsidRDefault="00FD4CC6" w:rsidP="00FD4CC6">
      <w:pPr>
        <w:autoSpaceDE w:val="0"/>
        <w:autoSpaceDN w:val="0"/>
        <w:adjustRightInd w:val="0"/>
        <w:spacing w:before="120" w:after="120" w:line="240" w:lineRule="auto"/>
        <w:ind w:firstLine="708"/>
        <w:jc w:val="both"/>
        <w:rPr>
          <w:rFonts w:ascii="Times New Roman" w:hAnsi="Times New Roman"/>
          <w:sz w:val="24"/>
          <w:szCs w:val="24"/>
          <w:lang w:eastAsia="bg-BG"/>
        </w:rPr>
      </w:pPr>
      <w:r w:rsidRPr="006B4448">
        <w:rPr>
          <w:rFonts w:ascii="Times New Roman" w:hAnsi="Times New Roman"/>
          <w:sz w:val="24"/>
          <w:szCs w:val="24"/>
          <w:lang w:eastAsia="bg-BG"/>
        </w:rPr>
        <w:t>За целите на изпълнение на разпоредбите на чл. 5, помощта, която ще се предостави под формата на безвъзмездни средства се счита за прозрачна, тъй като брутният й еквивалент може да бъде предварително изчислен.</w:t>
      </w:r>
    </w:p>
    <w:p w14:paraId="4C8FF833" w14:textId="0E382537" w:rsidR="00FD4CC6" w:rsidRPr="009C25E6" w:rsidRDefault="00FD4CC6" w:rsidP="00FD4CC6">
      <w:pPr>
        <w:autoSpaceDE w:val="0"/>
        <w:autoSpaceDN w:val="0"/>
        <w:adjustRightInd w:val="0"/>
        <w:spacing w:before="120" w:after="120" w:line="240" w:lineRule="auto"/>
        <w:ind w:firstLine="708"/>
        <w:jc w:val="both"/>
        <w:rPr>
          <w:rFonts w:ascii="Times New Roman" w:hAnsi="Times New Roman"/>
          <w:b/>
          <w:sz w:val="24"/>
          <w:szCs w:val="24"/>
          <w:lang w:val="en-US" w:eastAsia="bg-BG"/>
        </w:rPr>
      </w:pPr>
      <w:r w:rsidRPr="00513A8A">
        <w:rPr>
          <w:rFonts w:ascii="Times New Roman" w:hAnsi="Times New Roman"/>
          <w:b/>
          <w:sz w:val="24"/>
          <w:szCs w:val="24"/>
          <w:lang w:eastAsia="bg-BG"/>
        </w:rPr>
        <w:t>Стимулиращ ефект</w:t>
      </w:r>
      <w:r w:rsidR="00443BA7">
        <w:rPr>
          <w:rFonts w:ascii="Times New Roman" w:hAnsi="Times New Roman"/>
          <w:b/>
          <w:sz w:val="24"/>
          <w:szCs w:val="24"/>
          <w:lang w:eastAsia="bg-BG"/>
        </w:rPr>
        <w:t xml:space="preserve"> (чл. 6)</w:t>
      </w:r>
    </w:p>
    <w:p w14:paraId="4A31A9D9" w14:textId="1B9185F8" w:rsidR="00FD4CC6" w:rsidRPr="00513A8A" w:rsidRDefault="00FD4CC6" w:rsidP="00FD4CC6">
      <w:pPr>
        <w:autoSpaceDE w:val="0"/>
        <w:autoSpaceDN w:val="0"/>
        <w:adjustRightInd w:val="0"/>
        <w:spacing w:before="120" w:after="120" w:line="240" w:lineRule="auto"/>
        <w:ind w:firstLine="708"/>
        <w:jc w:val="both"/>
        <w:rPr>
          <w:rFonts w:ascii="Times New Roman" w:hAnsi="Times New Roman"/>
          <w:sz w:val="24"/>
          <w:szCs w:val="24"/>
          <w:lang w:eastAsia="bg-BG"/>
        </w:rPr>
      </w:pPr>
      <w:r w:rsidRPr="00513A8A">
        <w:rPr>
          <w:rFonts w:ascii="Times New Roman" w:hAnsi="Times New Roman"/>
          <w:sz w:val="24"/>
          <w:szCs w:val="24"/>
          <w:lang w:eastAsia="bg-BG"/>
        </w:rPr>
        <w:t xml:space="preserve">За да се докаже </w:t>
      </w:r>
      <w:r w:rsidRPr="00513A8A">
        <w:rPr>
          <w:rFonts w:ascii="Times New Roman" w:hAnsi="Times New Roman"/>
          <w:b/>
          <w:sz w:val="24"/>
          <w:szCs w:val="24"/>
          <w:lang w:eastAsia="bg-BG"/>
        </w:rPr>
        <w:t>стиму</w:t>
      </w:r>
      <w:r w:rsidR="00035D8D">
        <w:rPr>
          <w:rFonts w:ascii="Times New Roman" w:hAnsi="Times New Roman"/>
          <w:b/>
          <w:sz w:val="24"/>
          <w:szCs w:val="24"/>
          <w:lang w:eastAsia="bg-BG"/>
        </w:rPr>
        <w:t>ли</w:t>
      </w:r>
      <w:r w:rsidRPr="00513A8A">
        <w:rPr>
          <w:rFonts w:ascii="Times New Roman" w:hAnsi="Times New Roman"/>
          <w:b/>
          <w:sz w:val="24"/>
          <w:szCs w:val="24"/>
          <w:lang w:eastAsia="bg-BG"/>
        </w:rPr>
        <w:t>ращия ефект</w:t>
      </w:r>
      <w:r w:rsidRPr="00513A8A">
        <w:rPr>
          <w:rFonts w:ascii="Times New Roman" w:hAnsi="Times New Roman"/>
          <w:sz w:val="24"/>
          <w:szCs w:val="24"/>
          <w:lang w:eastAsia="bg-BG"/>
        </w:rPr>
        <w:t xml:space="preserve">, което е другото задължително условие, </w:t>
      </w:r>
      <w:r w:rsidR="008C0F4A">
        <w:rPr>
          <w:rFonts w:ascii="Times New Roman" w:hAnsi="Times New Roman"/>
          <w:sz w:val="24"/>
          <w:szCs w:val="24"/>
          <w:lang w:eastAsia="bg-BG"/>
        </w:rPr>
        <w:t>кандидатът</w:t>
      </w:r>
      <w:r w:rsidRPr="00513A8A">
        <w:rPr>
          <w:rFonts w:ascii="Times New Roman" w:hAnsi="Times New Roman"/>
          <w:sz w:val="24"/>
          <w:szCs w:val="24"/>
          <w:lang w:eastAsia="bg-BG"/>
        </w:rPr>
        <w:t>, трябва да е подал писмено заявление за помощ до финансиращия орган (държава членка) преди работата по проекта или дейността да е започнала</w:t>
      </w:r>
      <w:r w:rsidR="000447C5">
        <w:rPr>
          <w:rStyle w:val="FootnoteReference"/>
          <w:rFonts w:ascii="Times New Roman" w:hAnsi="Times New Roman"/>
          <w:sz w:val="24"/>
          <w:szCs w:val="24"/>
          <w:lang w:eastAsia="bg-BG"/>
        </w:rPr>
        <w:footnoteReference w:id="1"/>
      </w:r>
      <w:r w:rsidR="000447C5">
        <w:rPr>
          <w:rFonts w:ascii="Times New Roman" w:hAnsi="Times New Roman"/>
          <w:sz w:val="24"/>
          <w:szCs w:val="24"/>
          <w:lang w:eastAsia="bg-BG"/>
        </w:rPr>
        <w:t xml:space="preserve"> съгласно </w:t>
      </w:r>
      <w:r w:rsidR="000447C5">
        <w:rPr>
          <w:rFonts w:ascii="Times New Roman" w:hAnsi="Times New Roman"/>
          <w:sz w:val="24"/>
          <w:szCs w:val="24"/>
          <w:lang w:eastAsia="bg-BG"/>
        </w:rPr>
        <w:lastRenderedPageBreak/>
        <w:t xml:space="preserve">определението в </w:t>
      </w:r>
      <w:r w:rsidR="000447C5" w:rsidRPr="000447C5">
        <w:rPr>
          <w:rFonts w:ascii="Times New Roman" w:hAnsi="Times New Roman"/>
          <w:sz w:val="24"/>
          <w:szCs w:val="24"/>
          <w:lang w:eastAsia="bg-BG"/>
        </w:rPr>
        <w:t xml:space="preserve">чл. 2, параграф </w:t>
      </w:r>
      <w:r w:rsidR="000447C5">
        <w:rPr>
          <w:rFonts w:ascii="Times New Roman" w:hAnsi="Times New Roman"/>
          <w:sz w:val="24"/>
          <w:szCs w:val="24"/>
          <w:lang w:eastAsia="bg-BG"/>
        </w:rPr>
        <w:t>23 от Регламент (ЕС) № 651/2014</w:t>
      </w:r>
      <w:r w:rsidRPr="00513A8A">
        <w:rPr>
          <w:rFonts w:ascii="Times New Roman" w:hAnsi="Times New Roman"/>
          <w:sz w:val="24"/>
          <w:szCs w:val="24"/>
          <w:lang w:eastAsia="bg-BG"/>
        </w:rPr>
        <w:t xml:space="preserve">. Заявлението за помощ </w:t>
      </w:r>
      <w:r w:rsidR="008C0F4A">
        <w:rPr>
          <w:rFonts w:ascii="Times New Roman" w:hAnsi="Times New Roman"/>
          <w:sz w:val="24"/>
          <w:szCs w:val="24"/>
          <w:lang w:eastAsia="bg-BG"/>
        </w:rPr>
        <w:t xml:space="preserve">следва да </w:t>
      </w:r>
      <w:r w:rsidRPr="00513A8A">
        <w:rPr>
          <w:rFonts w:ascii="Times New Roman" w:hAnsi="Times New Roman"/>
          <w:sz w:val="24"/>
          <w:szCs w:val="24"/>
          <w:lang w:eastAsia="bg-BG"/>
        </w:rPr>
        <w:t>съдържа като минимум следната информация:</w:t>
      </w:r>
    </w:p>
    <w:p w14:paraId="6E4DC431" w14:textId="77777777" w:rsidR="00FD4CC6" w:rsidRPr="00513A8A" w:rsidRDefault="00FD4CC6" w:rsidP="00FD4CC6">
      <w:pPr>
        <w:autoSpaceDE w:val="0"/>
        <w:autoSpaceDN w:val="0"/>
        <w:adjustRightInd w:val="0"/>
        <w:spacing w:before="120" w:after="120" w:line="240" w:lineRule="auto"/>
        <w:ind w:left="720"/>
        <w:jc w:val="both"/>
        <w:rPr>
          <w:rFonts w:ascii="Times New Roman" w:hAnsi="Times New Roman"/>
          <w:sz w:val="24"/>
          <w:szCs w:val="24"/>
          <w:lang w:eastAsia="bg-BG"/>
        </w:rPr>
      </w:pPr>
      <w:r w:rsidRPr="00513A8A">
        <w:rPr>
          <w:rFonts w:ascii="Times New Roman" w:hAnsi="Times New Roman"/>
          <w:sz w:val="24"/>
          <w:szCs w:val="24"/>
          <w:lang w:eastAsia="bg-BG"/>
        </w:rPr>
        <w:t>а) наименование и големина на предприятието,</w:t>
      </w:r>
    </w:p>
    <w:p w14:paraId="386C8E40" w14:textId="77777777" w:rsidR="00FD4CC6" w:rsidRPr="00513A8A" w:rsidRDefault="00FD4CC6" w:rsidP="00FD4CC6">
      <w:pPr>
        <w:autoSpaceDE w:val="0"/>
        <w:autoSpaceDN w:val="0"/>
        <w:adjustRightInd w:val="0"/>
        <w:spacing w:before="120" w:after="120" w:line="240" w:lineRule="auto"/>
        <w:ind w:left="720"/>
        <w:jc w:val="both"/>
        <w:rPr>
          <w:rFonts w:ascii="Times New Roman" w:hAnsi="Times New Roman"/>
          <w:sz w:val="24"/>
          <w:szCs w:val="24"/>
          <w:lang w:eastAsia="bg-BG"/>
        </w:rPr>
      </w:pPr>
      <w:r w:rsidRPr="00513A8A">
        <w:rPr>
          <w:rFonts w:ascii="Times New Roman" w:hAnsi="Times New Roman"/>
          <w:sz w:val="24"/>
          <w:szCs w:val="24"/>
          <w:lang w:eastAsia="bg-BG"/>
        </w:rPr>
        <w:t>б) описание на проекта, включително неговата начална и крайна дата,</w:t>
      </w:r>
    </w:p>
    <w:p w14:paraId="379A103B" w14:textId="77777777" w:rsidR="00FD4CC6" w:rsidRPr="00513A8A" w:rsidRDefault="00FD4CC6" w:rsidP="00FD4CC6">
      <w:pPr>
        <w:autoSpaceDE w:val="0"/>
        <w:autoSpaceDN w:val="0"/>
        <w:adjustRightInd w:val="0"/>
        <w:spacing w:before="120" w:after="120" w:line="240" w:lineRule="auto"/>
        <w:ind w:left="720"/>
        <w:jc w:val="both"/>
        <w:rPr>
          <w:rFonts w:ascii="Times New Roman" w:hAnsi="Times New Roman"/>
          <w:sz w:val="24"/>
          <w:szCs w:val="24"/>
          <w:lang w:eastAsia="bg-BG"/>
        </w:rPr>
      </w:pPr>
      <w:r w:rsidRPr="00513A8A">
        <w:rPr>
          <w:rFonts w:ascii="Times New Roman" w:hAnsi="Times New Roman"/>
          <w:sz w:val="24"/>
          <w:szCs w:val="24"/>
          <w:lang w:eastAsia="bg-BG"/>
        </w:rPr>
        <w:t>в) местонахождение на проекта,</w:t>
      </w:r>
    </w:p>
    <w:p w14:paraId="2C6D7F40" w14:textId="77777777" w:rsidR="00FD4CC6" w:rsidRPr="00513A8A" w:rsidRDefault="00FD4CC6" w:rsidP="00FD4CC6">
      <w:pPr>
        <w:autoSpaceDE w:val="0"/>
        <w:autoSpaceDN w:val="0"/>
        <w:adjustRightInd w:val="0"/>
        <w:spacing w:before="120" w:after="120" w:line="240" w:lineRule="auto"/>
        <w:ind w:left="720"/>
        <w:jc w:val="both"/>
        <w:rPr>
          <w:rFonts w:ascii="Times New Roman" w:hAnsi="Times New Roman"/>
          <w:sz w:val="24"/>
          <w:szCs w:val="24"/>
          <w:lang w:eastAsia="bg-BG"/>
        </w:rPr>
      </w:pPr>
      <w:r w:rsidRPr="00513A8A">
        <w:rPr>
          <w:rFonts w:ascii="Times New Roman" w:hAnsi="Times New Roman"/>
          <w:sz w:val="24"/>
          <w:szCs w:val="24"/>
          <w:lang w:eastAsia="bg-BG"/>
        </w:rPr>
        <w:t>г) списък с разходите по проекта,</w:t>
      </w:r>
    </w:p>
    <w:p w14:paraId="7FB78F97" w14:textId="77777777" w:rsidR="00FD4CC6" w:rsidRPr="00513A8A" w:rsidRDefault="00FD4CC6" w:rsidP="00FD4CC6">
      <w:pPr>
        <w:autoSpaceDE w:val="0"/>
        <w:autoSpaceDN w:val="0"/>
        <w:adjustRightInd w:val="0"/>
        <w:spacing w:before="120" w:after="120" w:line="240" w:lineRule="auto"/>
        <w:ind w:left="720"/>
        <w:jc w:val="both"/>
        <w:rPr>
          <w:rFonts w:ascii="Times New Roman" w:hAnsi="Times New Roman"/>
          <w:sz w:val="24"/>
          <w:szCs w:val="24"/>
          <w:lang w:eastAsia="bg-BG"/>
        </w:rPr>
      </w:pPr>
      <w:r w:rsidRPr="00513A8A">
        <w:rPr>
          <w:rFonts w:ascii="Times New Roman" w:hAnsi="Times New Roman"/>
          <w:sz w:val="24"/>
          <w:szCs w:val="24"/>
          <w:lang w:eastAsia="bg-BG"/>
        </w:rPr>
        <w:t>д) вид на помощта (безвъзмездни средства, заем, гаранция, възстановяем аванс, вливане на капитал и т.н.) и размер на публичното финансиране, необходимо за проекта.</w:t>
      </w:r>
    </w:p>
    <w:p w14:paraId="400C8FCA" w14:textId="42540511" w:rsidR="00FD4CC6" w:rsidRPr="006B4448" w:rsidRDefault="00513A8A" w:rsidP="00FD4CC6">
      <w:pPr>
        <w:autoSpaceDE w:val="0"/>
        <w:autoSpaceDN w:val="0"/>
        <w:adjustRightInd w:val="0"/>
        <w:spacing w:before="120" w:after="120" w:line="240" w:lineRule="auto"/>
        <w:ind w:firstLine="720"/>
        <w:jc w:val="both"/>
        <w:rPr>
          <w:rFonts w:ascii="Times New Roman" w:hAnsi="Times New Roman"/>
          <w:b/>
          <w:i/>
          <w:sz w:val="24"/>
          <w:szCs w:val="24"/>
          <w:lang w:eastAsia="bg-BG"/>
        </w:rPr>
      </w:pPr>
      <w:r w:rsidRPr="00513A8A">
        <w:rPr>
          <w:rFonts w:ascii="Times New Roman" w:hAnsi="Times New Roman"/>
          <w:b/>
          <w:i/>
          <w:sz w:val="24"/>
          <w:szCs w:val="24"/>
        </w:rPr>
        <w:t xml:space="preserve">Всеки </w:t>
      </w:r>
      <w:r w:rsidR="00BC433E">
        <w:rPr>
          <w:rFonts w:ascii="Times New Roman" w:hAnsi="Times New Roman"/>
          <w:b/>
          <w:i/>
          <w:sz w:val="24"/>
          <w:szCs w:val="24"/>
        </w:rPr>
        <w:t>кандидат</w:t>
      </w:r>
      <w:r w:rsidR="00BC433E" w:rsidRPr="00513A8A">
        <w:rPr>
          <w:rFonts w:ascii="Times New Roman" w:hAnsi="Times New Roman"/>
          <w:b/>
          <w:i/>
          <w:sz w:val="24"/>
          <w:szCs w:val="24"/>
        </w:rPr>
        <w:t xml:space="preserve"> </w:t>
      </w:r>
      <w:r w:rsidR="00FD4CC6" w:rsidRPr="00513A8A">
        <w:rPr>
          <w:rFonts w:ascii="Times New Roman" w:hAnsi="Times New Roman"/>
          <w:b/>
          <w:i/>
          <w:sz w:val="24"/>
          <w:szCs w:val="24"/>
        </w:rPr>
        <w:t xml:space="preserve">следва да представи доказателства, </w:t>
      </w:r>
      <w:r w:rsidR="00FD4CC6" w:rsidRPr="00513A8A">
        <w:rPr>
          <w:rFonts w:ascii="Times New Roman" w:hAnsi="Times New Roman"/>
          <w:b/>
          <w:i/>
          <w:sz w:val="24"/>
          <w:szCs w:val="24"/>
          <w:lang w:eastAsia="bg-BG"/>
        </w:rPr>
        <w:t xml:space="preserve">че дейността по </w:t>
      </w:r>
      <w:r w:rsidR="004238F3">
        <w:rPr>
          <w:rFonts w:ascii="Times New Roman" w:hAnsi="Times New Roman"/>
          <w:b/>
          <w:i/>
          <w:sz w:val="24"/>
          <w:szCs w:val="24"/>
          <w:lang w:eastAsia="bg-BG"/>
        </w:rPr>
        <w:t xml:space="preserve">конкретния </w:t>
      </w:r>
      <w:r w:rsidR="00FD4CC6" w:rsidRPr="00513A8A">
        <w:rPr>
          <w:rFonts w:ascii="Times New Roman" w:hAnsi="Times New Roman"/>
          <w:b/>
          <w:i/>
          <w:sz w:val="24"/>
          <w:szCs w:val="24"/>
          <w:lang w:eastAsia="bg-BG"/>
        </w:rPr>
        <w:t>проект не е започнала преди предоставяне на документите и попълва декларация</w:t>
      </w:r>
      <w:r w:rsidR="00FD4CC6" w:rsidRPr="00513A8A">
        <w:rPr>
          <w:rFonts w:ascii="Times New Roman" w:hAnsi="Times New Roman"/>
          <w:b/>
          <w:i/>
          <w:sz w:val="24"/>
          <w:szCs w:val="24"/>
        </w:rPr>
        <w:t>, а УО да провери</w:t>
      </w:r>
      <w:r w:rsidR="00FD4CC6" w:rsidRPr="00513A8A">
        <w:rPr>
          <w:rFonts w:ascii="Times New Roman" w:hAnsi="Times New Roman"/>
          <w:b/>
          <w:i/>
          <w:sz w:val="24"/>
          <w:szCs w:val="24"/>
          <w:lang w:eastAsia="bg-BG"/>
        </w:rPr>
        <w:t>.</w:t>
      </w:r>
    </w:p>
    <w:p w14:paraId="3CF4FCA5" w14:textId="77777777" w:rsidR="00FD4CC6" w:rsidRPr="006B4448" w:rsidRDefault="004A5370" w:rsidP="00FD4CC6">
      <w:pPr>
        <w:autoSpaceDE w:val="0"/>
        <w:autoSpaceDN w:val="0"/>
        <w:adjustRightInd w:val="0"/>
        <w:spacing w:before="120" w:after="120" w:line="240" w:lineRule="auto"/>
        <w:ind w:firstLine="708"/>
        <w:jc w:val="both"/>
        <w:rPr>
          <w:rFonts w:ascii="Times New Roman" w:hAnsi="Times New Roman"/>
          <w:sz w:val="24"/>
          <w:szCs w:val="24"/>
          <w:lang w:eastAsia="bg-BG"/>
        </w:rPr>
      </w:pPr>
      <w:r>
        <w:rPr>
          <w:rFonts w:ascii="Times New Roman" w:hAnsi="Times New Roman"/>
          <w:sz w:val="24"/>
          <w:szCs w:val="24"/>
          <w:lang w:eastAsia="bg-BG"/>
        </w:rPr>
        <w:t>Финансирането на публично достъпна зарядна инфраструктура за електромобили</w:t>
      </w:r>
      <w:r w:rsidR="00FD4CC6" w:rsidRPr="006B4448">
        <w:rPr>
          <w:rFonts w:ascii="Times New Roman" w:hAnsi="Times New Roman"/>
          <w:sz w:val="24"/>
          <w:szCs w:val="24"/>
          <w:lang w:eastAsia="bg-BG"/>
        </w:rPr>
        <w:t xml:space="preserve"> има за цел да осигури публично благо (обществени ползи) и да предостави необходимите услуги на обществото</w:t>
      </w:r>
      <w:r w:rsidR="008C0F4A">
        <w:rPr>
          <w:rFonts w:ascii="Times New Roman" w:hAnsi="Times New Roman"/>
          <w:sz w:val="24"/>
          <w:szCs w:val="24"/>
          <w:lang w:eastAsia="bg-BG"/>
        </w:rPr>
        <w:t xml:space="preserve">. </w:t>
      </w:r>
      <w:r w:rsidR="00FD4CC6" w:rsidRPr="006B4448">
        <w:rPr>
          <w:rFonts w:ascii="Times New Roman" w:hAnsi="Times New Roman"/>
          <w:sz w:val="24"/>
          <w:szCs w:val="24"/>
          <w:lang w:eastAsia="bg-BG"/>
        </w:rPr>
        <w:t xml:space="preserve">Това позволява поддържането на </w:t>
      </w:r>
      <w:r>
        <w:rPr>
          <w:rFonts w:ascii="Times New Roman" w:hAnsi="Times New Roman"/>
          <w:sz w:val="24"/>
          <w:szCs w:val="24"/>
          <w:lang w:eastAsia="bg-BG"/>
        </w:rPr>
        <w:t>зарядната инфраструктура</w:t>
      </w:r>
      <w:r w:rsidR="00FD4CC6" w:rsidRPr="006B4448">
        <w:rPr>
          <w:rFonts w:ascii="Times New Roman" w:hAnsi="Times New Roman"/>
          <w:sz w:val="24"/>
          <w:szCs w:val="24"/>
          <w:lang w:eastAsia="bg-BG"/>
        </w:rPr>
        <w:t xml:space="preserve"> като средство за подпомагане на търговията, превоза на стоки и стимулиране на икономическия растеж. Публичните блага, като сигурност на </w:t>
      </w:r>
      <w:r>
        <w:rPr>
          <w:rFonts w:ascii="Times New Roman" w:hAnsi="Times New Roman"/>
          <w:sz w:val="24"/>
          <w:szCs w:val="24"/>
          <w:lang w:eastAsia="bg-BG"/>
        </w:rPr>
        <w:t>транспорта</w:t>
      </w:r>
      <w:r w:rsidR="00FD4CC6" w:rsidRPr="006B4448">
        <w:rPr>
          <w:rFonts w:ascii="Times New Roman" w:hAnsi="Times New Roman"/>
          <w:sz w:val="24"/>
          <w:szCs w:val="24"/>
          <w:lang w:eastAsia="bg-BG"/>
        </w:rPr>
        <w:t xml:space="preserve">, безопасност на достъпа, транспортна свързаност, не могат да бъдат ексклузивно предоставени на определени индивиди или групи. </w:t>
      </w:r>
    </w:p>
    <w:p w14:paraId="1D8D0BA1" w14:textId="77777777" w:rsidR="00FD4CC6" w:rsidRPr="006B4448" w:rsidRDefault="00FD4CC6" w:rsidP="00FD4CC6">
      <w:pPr>
        <w:autoSpaceDE w:val="0"/>
        <w:autoSpaceDN w:val="0"/>
        <w:adjustRightInd w:val="0"/>
        <w:spacing w:before="120" w:after="120" w:line="240" w:lineRule="auto"/>
        <w:ind w:firstLine="708"/>
        <w:jc w:val="both"/>
        <w:rPr>
          <w:rFonts w:ascii="Times New Roman" w:hAnsi="Times New Roman"/>
          <w:sz w:val="24"/>
          <w:szCs w:val="24"/>
          <w:lang w:eastAsia="bg-BG"/>
        </w:rPr>
      </w:pPr>
      <w:r w:rsidRPr="006B4448">
        <w:rPr>
          <w:rFonts w:ascii="Times New Roman" w:hAnsi="Times New Roman"/>
          <w:sz w:val="24"/>
          <w:szCs w:val="24"/>
          <w:lang w:eastAsia="bg-BG"/>
        </w:rPr>
        <w:t xml:space="preserve">Публичните блага са достъпни за всички членове на обществото без дискриминация или ограничения. </w:t>
      </w:r>
    </w:p>
    <w:p w14:paraId="4703D01E" w14:textId="77777777" w:rsidR="00FD4CC6" w:rsidRPr="00954DB6" w:rsidRDefault="00FD4CC6" w:rsidP="00FD4CC6">
      <w:pPr>
        <w:autoSpaceDE w:val="0"/>
        <w:autoSpaceDN w:val="0"/>
        <w:adjustRightInd w:val="0"/>
        <w:spacing w:before="120" w:after="120" w:line="240" w:lineRule="auto"/>
        <w:ind w:firstLine="708"/>
        <w:jc w:val="both"/>
        <w:rPr>
          <w:rFonts w:ascii="Times New Roman" w:hAnsi="Times New Roman"/>
          <w:sz w:val="24"/>
          <w:szCs w:val="24"/>
          <w:lang w:eastAsia="bg-BG"/>
        </w:rPr>
      </w:pPr>
      <w:r w:rsidRPr="00954DB6">
        <w:rPr>
          <w:rFonts w:ascii="Times New Roman" w:hAnsi="Times New Roman"/>
          <w:sz w:val="24"/>
          <w:szCs w:val="24"/>
          <w:lang w:eastAsia="bg-BG"/>
        </w:rPr>
        <w:t>Финансирането на публични блага може да включва изискване за значителни инвестиции и необходимост от привличане на значителни фондове за дългосрочен период. Частният бизнес обикновено е насочен към постигане на печалба и може да има по-ограничени и оскъпени възможности за достъп до заеми и финансирания, особено ако не е налице ясна и стабилна система за възнаграждение или приходи, за получаване на възвръщаемост на реализираните инвестиционни разходи.</w:t>
      </w:r>
    </w:p>
    <w:p w14:paraId="7853E450" w14:textId="77777777" w:rsidR="00FD4CC6" w:rsidRPr="00954DB6" w:rsidRDefault="00FD4CC6" w:rsidP="00FD4CC6">
      <w:pPr>
        <w:autoSpaceDE w:val="0"/>
        <w:autoSpaceDN w:val="0"/>
        <w:adjustRightInd w:val="0"/>
        <w:spacing w:before="120" w:after="120" w:line="240" w:lineRule="auto"/>
        <w:ind w:firstLine="708"/>
        <w:jc w:val="both"/>
        <w:rPr>
          <w:rFonts w:ascii="Times New Roman" w:hAnsi="Times New Roman"/>
          <w:sz w:val="24"/>
          <w:szCs w:val="24"/>
          <w:lang w:eastAsia="bg-BG"/>
        </w:rPr>
      </w:pPr>
      <w:r w:rsidRPr="00954DB6">
        <w:rPr>
          <w:rFonts w:ascii="Times New Roman" w:hAnsi="Times New Roman"/>
          <w:sz w:val="24"/>
          <w:szCs w:val="24"/>
          <w:lang w:eastAsia="bg-BG"/>
        </w:rPr>
        <w:t>Финансирането на публична инфрас</w:t>
      </w:r>
      <w:r w:rsidR="008C0F4A" w:rsidRPr="00954DB6">
        <w:rPr>
          <w:rFonts w:ascii="Times New Roman" w:hAnsi="Times New Roman"/>
          <w:sz w:val="24"/>
          <w:szCs w:val="24"/>
          <w:lang w:eastAsia="bg-BG"/>
        </w:rPr>
        <w:t xml:space="preserve">труктура с европейски средства </w:t>
      </w:r>
      <w:r w:rsidRPr="00954DB6">
        <w:rPr>
          <w:rFonts w:ascii="Times New Roman" w:hAnsi="Times New Roman"/>
          <w:sz w:val="24"/>
          <w:szCs w:val="24"/>
          <w:lang w:eastAsia="bg-BG"/>
        </w:rPr>
        <w:t>може да има следните икономически ефекти:</w:t>
      </w:r>
    </w:p>
    <w:p w14:paraId="456AD3F6" w14:textId="77777777" w:rsidR="00FD4CC6" w:rsidRPr="00954DB6" w:rsidRDefault="00FD4CC6" w:rsidP="00FD4CC6">
      <w:pPr>
        <w:autoSpaceDE w:val="0"/>
        <w:autoSpaceDN w:val="0"/>
        <w:adjustRightInd w:val="0"/>
        <w:spacing w:before="120" w:after="120" w:line="240" w:lineRule="auto"/>
        <w:ind w:firstLine="708"/>
        <w:jc w:val="both"/>
        <w:rPr>
          <w:rFonts w:ascii="Times New Roman" w:hAnsi="Times New Roman"/>
          <w:sz w:val="24"/>
          <w:szCs w:val="24"/>
          <w:lang w:eastAsia="bg-BG"/>
        </w:rPr>
      </w:pPr>
      <w:r w:rsidRPr="00954DB6">
        <w:rPr>
          <w:rFonts w:ascii="Times New Roman" w:hAnsi="Times New Roman"/>
          <w:sz w:val="24"/>
          <w:szCs w:val="24"/>
          <w:lang w:eastAsia="bg-BG"/>
        </w:rPr>
        <w:t>1.</w:t>
      </w:r>
      <w:r w:rsidRPr="00954DB6">
        <w:rPr>
          <w:rFonts w:ascii="Times New Roman" w:hAnsi="Times New Roman"/>
          <w:sz w:val="24"/>
          <w:szCs w:val="24"/>
          <w:lang w:eastAsia="bg-BG"/>
        </w:rPr>
        <w:tab/>
        <w:t xml:space="preserve">Инфраструктурен развой и подобряване на конкурентоспособността: Инвестициите в инфраструктура, като транспортни връзки, енергийна инфраструктура, комуникационни мрежи, създават условия за икономически растеж и повишаване на конкурентоспособността. Подобрената инфраструктура предоставя по-добри възможности за бизнеси и привличане на инвестиции, което стимулира икономиката, чрез осигуряване на недискриминационен и неограничен достъп </w:t>
      </w:r>
      <w:r w:rsidR="009A1944" w:rsidRPr="00954DB6">
        <w:rPr>
          <w:rFonts w:ascii="Times New Roman" w:hAnsi="Times New Roman"/>
          <w:sz w:val="24"/>
          <w:szCs w:val="24"/>
          <w:lang w:eastAsia="bg-BG"/>
        </w:rPr>
        <w:t>транспортната инфраструктура.</w:t>
      </w:r>
    </w:p>
    <w:p w14:paraId="2E526ACC" w14:textId="77777777" w:rsidR="00FD4CC6" w:rsidRPr="00954DB6" w:rsidRDefault="00FD4CC6" w:rsidP="00FD4CC6">
      <w:pPr>
        <w:autoSpaceDE w:val="0"/>
        <w:autoSpaceDN w:val="0"/>
        <w:adjustRightInd w:val="0"/>
        <w:spacing w:before="120" w:after="120" w:line="240" w:lineRule="auto"/>
        <w:ind w:firstLine="708"/>
        <w:jc w:val="both"/>
        <w:rPr>
          <w:rFonts w:ascii="Times New Roman" w:hAnsi="Times New Roman"/>
          <w:sz w:val="24"/>
          <w:szCs w:val="24"/>
          <w:lang w:eastAsia="bg-BG"/>
        </w:rPr>
      </w:pPr>
      <w:r w:rsidRPr="00954DB6">
        <w:rPr>
          <w:rFonts w:ascii="Times New Roman" w:hAnsi="Times New Roman"/>
          <w:sz w:val="24"/>
          <w:szCs w:val="24"/>
          <w:lang w:eastAsia="bg-BG"/>
        </w:rPr>
        <w:t>2.</w:t>
      </w:r>
      <w:r w:rsidRPr="00954DB6">
        <w:rPr>
          <w:rFonts w:ascii="Times New Roman" w:hAnsi="Times New Roman"/>
          <w:sz w:val="24"/>
          <w:szCs w:val="24"/>
          <w:lang w:eastAsia="bg-BG"/>
        </w:rPr>
        <w:tab/>
        <w:t>Създаване на работни места: Финансирането на публична инфраструктура се отразява на създаването на работни места през периода на изграждане и поддръжка на проектите. Това включва работници в строителството, инженери, технически специалисти и други. Създаването на работни места подобрява доходите на хората и увеличава пазарната активност.</w:t>
      </w:r>
    </w:p>
    <w:p w14:paraId="2AD7D333" w14:textId="77777777" w:rsidR="00FD4CC6" w:rsidRPr="00954DB6" w:rsidRDefault="00FD4CC6" w:rsidP="00FD4CC6">
      <w:pPr>
        <w:autoSpaceDE w:val="0"/>
        <w:autoSpaceDN w:val="0"/>
        <w:adjustRightInd w:val="0"/>
        <w:spacing w:before="120" w:after="120" w:line="240" w:lineRule="auto"/>
        <w:ind w:firstLine="708"/>
        <w:jc w:val="both"/>
        <w:rPr>
          <w:rFonts w:ascii="Times New Roman" w:hAnsi="Times New Roman"/>
          <w:sz w:val="24"/>
          <w:szCs w:val="24"/>
          <w:lang w:eastAsia="bg-BG"/>
        </w:rPr>
      </w:pPr>
      <w:r w:rsidRPr="00954DB6">
        <w:rPr>
          <w:rFonts w:ascii="Times New Roman" w:hAnsi="Times New Roman"/>
          <w:sz w:val="24"/>
          <w:szCs w:val="24"/>
          <w:lang w:eastAsia="bg-BG"/>
        </w:rPr>
        <w:t>3.</w:t>
      </w:r>
      <w:r w:rsidRPr="00954DB6">
        <w:rPr>
          <w:rFonts w:ascii="Times New Roman" w:hAnsi="Times New Roman"/>
          <w:sz w:val="24"/>
          <w:szCs w:val="24"/>
          <w:lang w:eastAsia="bg-BG"/>
        </w:rPr>
        <w:tab/>
        <w:t xml:space="preserve">Повишаване на обществената ефективност: Публичната инфраструктура подобрява ефективността на публичните услуги и дейности. Например, подобрена транспортна инфраструктура може да намали времето за пътуване и да подобри достъпа </w:t>
      </w:r>
      <w:r w:rsidRPr="00954DB6">
        <w:rPr>
          <w:rFonts w:ascii="Times New Roman" w:hAnsi="Times New Roman"/>
          <w:sz w:val="24"/>
          <w:szCs w:val="24"/>
          <w:lang w:eastAsia="bg-BG"/>
        </w:rPr>
        <w:lastRenderedPageBreak/>
        <w:t>до работни места, образователни и здравни услуги. Това може да повиши продуктивността и качеството на живот на хората.</w:t>
      </w:r>
    </w:p>
    <w:p w14:paraId="34CE231F" w14:textId="77777777" w:rsidR="00FD4CC6" w:rsidRPr="00954DB6" w:rsidRDefault="00FD4CC6" w:rsidP="00FD4CC6">
      <w:pPr>
        <w:autoSpaceDE w:val="0"/>
        <w:autoSpaceDN w:val="0"/>
        <w:adjustRightInd w:val="0"/>
        <w:spacing w:before="120" w:after="120" w:line="240" w:lineRule="auto"/>
        <w:ind w:firstLine="708"/>
        <w:jc w:val="both"/>
        <w:rPr>
          <w:rFonts w:ascii="Times New Roman" w:hAnsi="Times New Roman"/>
          <w:sz w:val="24"/>
          <w:szCs w:val="24"/>
          <w:lang w:eastAsia="bg-BG"/>
        </w:rPr>
      </w:pPr>
      <w:r w:rsidRPr="00954DB6">
        <w:rPr>
          <w:rFonts w:ascii="Times New Roman" w:hAnsi="Times New Roman"/>
          <w:sz w:val="24"/>
          <w:szCs w:val="24"/>
          <w:lang w:eastAsia="bg-BG"/>
        </w:rPr>
        <w:t>4.</w:t>
      </w:r>
      <w:r w:rsidRPr="00954DB6">
        <w:rPr>
          <w:rFonts w:ascii="Times New Roman" w:hAnsi="Times New Roman"/>
          <w:sz w:val="24"/>
          <w:szCs w:val="24"/>
          <w:lang w:eastAsia="bg-BG"/>
        </w:rPr>
        <w:tab/>
        <w:t>Регионално развитие и социално сближаване: Финансирането на публична инфраструктура с европейски средства може да помогне за регионалното развитие и намаляването на икономическите неравенства. Това може да се постигне чрез транспортна свързаност и мултимодалност, което създава равни възможности за развитие и подобрява качеството на живот.</w:t>
      </w:r>
    </w:p>
    <w:p w14:paraId="63261CB3" w14:textId="28D762AD" w:rsidR="00FD4CC6" w:rsidRPr="00954DB6" w:rsidRDefault="00FD4CC6" w:rsidP="00FD4CC6">
      <w:pPr>
        <w:autoSpaceDE w:val="0"/>
        <w:autoSpaceDN w:val="0"/>
        <w:adjustRightInd w:val="0"/>
        <w:spacing w:before="120" w:after="120" w:line="240" w:lineRule="auto"/>
        <w:ind w:firstLine="708"/>
        <w:jc w:val="both"/>
        <w:rPr>
          <w:rFonts w:ascii="Times New Roman" w:hAnsi="Times New Roman"/>
          <w:sz w:val="24"/>
          <w:szCs w:val="24"/>
          <w:lang w:eastAsia="bg-BG"/>
        </w:rPr>
      </w:pPr>
      <w:r w:rsidRPr="00954DB6">
        <w:rPr>
          <w:rFonts w:ascii="Times New Roman" w:hAnsi="Times New Roman"/>
          <w:sz w:val="24"/>
          <w:szCs w:val="24"/>
          <w:lang w:eastAsia="bg-BG"/>
        </w:rPr>
        <w:t xml:space="preserve">Без финансирането на </w:t>
      </w:r>
      <w:r w:rsidR="0066578E" w:rsidRPr="00954DB6">
        <w:rPr>
          <w:rFonts w:ascii="Times New Roman" w:hAnsi="Times New Roman"/>
          <w:sz w:val="24"/>
          <w:szCs w:val="24"/>
          <w:lang w:eastAsia="bg-BG"/>
        </w:rPr>
        <w:t xml:space="preserve">проектите </w:t>
      </w:r>
      <w:r w:rsidRPr="00954DB6">
        <w:rPr>
          <w:rFonts w:ascii="Times New Roman" w:hAnsi="Times New Roman"/>
          <w:sz w:val="24"/>
          <w:szCs w:val="24"/>
          <w:lang w:eastAsia="bg-BG"/>
        </w:rPr>
        <w:t>с европейски средства, не би могло да се постигнат посочените ефекти поради следните причини:</w:t>
      </w:r>
    </w:p>
    <w:p w14:paraId="4827E0F5" w14:textId="69739000" w:rsidR="00FD4CC6" w:rsidRPr="006B4448" w:rsidRDefault="00FD4CC6" w:rsidP="00FD4CC6">
      <w:pPr>
        <w:autoSpaceDE w:val="0"/>
        <w:autoSpaceDN w:val="0"/>
        <w:adjustRightInd w:val="0"/>
        <w:spacing w:before="120" w:after="120" w:line="240" w:lineRule="auto"/>
        <w:ind w:firstLine="708"/>
        <w:jc w:val="both"/>
        <w:rPr>
          <w:rFonts w:ascii="Times New Roman" w:hAnsi="Times New Roman"/>
          <w:sz w:val="24"/>
          <w:szCs w:val="24"/>
          <w:lang w:eastAsia="bg-BG"/>
        </w:rPr>
      </w:pPr>
      <w:r w:rsidRPr="006B4448">
        <w:rPr>
          <w:rFonts w:ascii="Times New Roman" w:hAnsi="Times New Roman"/>
          <w:sz w:val="24"/>
          <w:szCs w:val="24"/>
          <w:lang w:eastAsia="bg-BG"/>
        </w:rPr>
        <w:t xml:space="preserve">Развитието на </w:t>
      </w:r>
      <w:r w:rsidR="009A1944">
        <w:rPr>
          <w:rFonts w:ascii="Times New Roman" w:hAnsi="Times New Roman"/>
          <w:sz w:val="24"/>
          <w:szCs w:val="24"/>
          <w:lang w:eastAsia="bg-BG"/>
        </w:rPr>
        <w:t>публично достъпна зарядна</w:t>
      </w:r>
      <w:r w:rsidRPr="006B4448">
        <w:rPr>
          <w:rFonts w:ascii="Times New Roman" w:hAnsi="Times New Roman"/>
          <w:sz w:val="24"/>
          <w:szCs w:val="24"/>
          <w:lang w:eastAsia="bg-BG"/>
        </w:rPr>
        <w:t xml:space="preserve"> инфраструктура </w:t>
      </w:r>
      <w:r w:rsidR="009A1944">
        <w:rPr>
          <w:rFonts w:ascii="Times New Roman" w:hAnsi="Times New Roman"/>
          <w:sz w:val="24"/>
          <w:szCs w:val="24"/>
          <w:lang w:eastAsia="bg-BG"/>
        </w:rPr>
        <w:t xml:space="preserve">с оглед покриване на изискванията на Регламент </w:t>
      </w:r>
      <w:r w:rsidR="00AB2FDC">
        <w:rPr>
          <w:rFonts w:ascii="Times New Roman" w:hAnsi="Times New Roman"/>
          <w:sz w:val="24"/>
          <w:szCs w:val="24"/>
          <w:lang w:eastAsia="bg-BG"/>
        </w:rPr>
        <w:t>1804/2023</w:t>
      </w:r>
      <w:r w:rsidR="009A1944">
        <w:rPr>
          <w:rFonts w:ascii="Times New Roman" w:hAnsi="Times New Roman"/>
          <w:sz w:val="24"/>
          <w:szCs w:val="24"/>
          <w:lang w:eastAsia="bg-BG"/>
        </w:rPr>
        <w:t xml:space="preserve"> и</w:t>
      </w:r>
      <w:r w:rsidRPr="006B4448">
        <w:rPr>
          <w:rFonts w:ascii="Times New Roman" w:hAnsi="Times New Roman"/>
          <w:sz w:val="24"/>
          <w:szCs w:val="24"/>
          <w:lang w:eastAsia="bg-BG"/>
        </w:rPr>
        <w:t>зисква значителен финансов ресурс</w:t>
      </w:r>
      <w:r w:rsidR="009A1944">
        <w:rPr>
          <w:rFonts w:ascii="Times New Roman" w:hAnsi="Times New Roman"/>
          <w:sz w:val="24"/>
          <w:szCs w:val="24"/>
          <w:lang w:eastAsia="bg-BG"/>
        </w:rPr>
        <w:t>.</w:t>
      </w:r>
      <w:r w:rsidRPr="006B4448">
        <w:rPr>
          <w:rFonts w:ascii="Times New Roman" w:hAnsi="Times New Roman"/>
          <w:sz w:val="24"/>
          <w:szCs w:val="24"/>
          <w:lang w:eastAsia="bg-BG"/>
        </w:rPr>
        <w:t xml:space="preserve"> В този смисъл финансирането на </w:t>
      </w:r>
      <w:r w:rsidR="00C731E6" w:rsidRPr="006B4448">
        <w:rPr>
          <w:rFonts w:ascii="Times New Roman" w:hAnsi="Times New Roman"/>
          <w:sz w:val="24"/>
          <w:szCs w:val="24"/>
          <w:lang w:eastAsia="bg-BG"/>
        </w:rPr>
        <w:t>проект</w:t>
      </w:r>
      <w:r w:rsidR="00C731E6">
        <w:rPr>
          <w:rFonts w:ascii="Times New Roman" w:hAnsi="Times New Roman"/>
          <w:sz w:val="24"/>
          <w:szCs w:val="24"/>
          <w:lang w:eastAsia="bg-BG"/>
        </w:rPr>
        <w:t>ите</w:t>
      </w:r>
      <w:r w:rsidR="00C731E6" w:rsidRPr="006B4448">
        <w:rPr>
          <w:rFonts w:ascii="Times New Roman" w:hAnsi="Times New Roman"/>
          <w:sz w:val="24"/>
          <w:szCs w:val="24"/>
          <w:lang w:eastAsia="bg-BG"/>
        </w:rPr>
        <w:t xml:space="preserve"> </w:t>
      </w:r>
      <w:r w:rsidRPr="006B4448">
        <w:rPr>
          <w:rFonts w:ascii="Times New Roman" w:hAnsi="Times New Roman"/>
          <w:sz w:val="24"/>
          <w:szCs w:val="24"/>
          <w:lang w:eastAsia="bg-BG"/>
        </w:rPr>
        <w:t xml:space="preserve">с европейски средства значително ще ускори изпълнението </w:t>
      </w:r>
      <w:r w:rsidR="00C731E6">
        <w:rPr>
          <w:rFonts w:ascii="Times New Roman" w:hAnsi="Times New Roman"/>
          <w:sz w:val="24"/>
          <w:szCs w:val="24"/>
          <w:lang w:eastAsia="bg-BG"/>
        </w:rPr>
        <w:t>им</w:t>
      </w:r>
      <w:r w:rsidR="00C731E6" w:rsidRPr="006B4448">
        <w:rPr>
          <w:rFonts w:ascii="Times New Roman" w:hAnsi="Times New Roman"/>
          <w:sz w:val="24"/>
          <w:szCs w:val="24"/>
          <w:lang w:eastAsia="bg-BG"/>
        </w:rPr>
        <w:t xml:space="preserve"> </w:t>
      </w:r>
      <w:r w:rsidRPr="006B4448">
        <w:rPr>
          <w:rFonts w:ascii="Times New Roman" w:hAnsi="Times New Roman"/>
          <w:sz w:val="24"/>
          <w:szCs w:val="24"/>
          <w:lang w:eastAsia="bg-BG"/>
        </w:rPr>
        <w:t>и по този начин ще създаде необходимите условия за привеждане на част от инфраструктурата към нуждите от предоставяне на необходимите услуги на обществото.</w:t>
      </w:r>
    </w:p>
    <w:p w14:paraId="3CEE005B" w14:textId="78592106" w:rsidR="00FD4CC6" w:rsidRPr="006B4448" w:rsidRDefault="00FD4CC6" w:rsidP="00FD4CC6">
      <w:pPr>
        <w:autoSpaceDE w:val="0"/>
        <w:autoSpaceDN w:val="0"/>
        <w:adjustRightInd w:val="0"/>
        <w:spacing w:before="120" w:after="120" w:line="240" w:lineRule="auto"/>
        <w:ind w:firstLine="708"/>
        <w:jc w:val="both"/>
        <w:rPr>
          <w:rFonts w:ascii="Times New Roman" w:hAnsi="Times New Roman"/>
          <w:sz w:val="24"/>
          <w:szCs w:val="24"/>
          <w:lang w:eastAsia="bg-BG"/>
        </w:rPr>
      </w:pPr>
      <w:r w:rsidRPr="006B4448">
        <w:rPr>
          <w:rFonts w:ascii="Times New Roman" w:hAnsi="Times New Roman"/>
          <w:sz w:val="24"/>
          <w:szCs w:val="24"/>
          <w:lang w:eastAsia="bg-BG"/>
        </w:rPr>
        <w:t xml:space="preserve">Съгласно действащото законодателство </w:t>
      </w:r>
      <w:r w:rsidR="009A1944">
        <w:rPr>
          <w:rFonts w:ascii="Times New Roman" w:hAnsi="Times New Roman"/>
          <w:sz w:val="24"/>
          <w:szCs w:val="24"/>
          <w:lang w:eastAsia="bg-BG"/>
        </w:rPr>
        <w:t>предоставянето на средства от европейските фондове значително ще подпомогне по-лесното изпълнение на</w:t>
      </w:r>
      <w:r w:rsidRPr="006B4448">
        <w:rPr>
          <w:rFonts w:ascii="Times New Roman" w:hAnsi="Times New Roman"/>
          <w:sz w:val="24"/>
          <w:szCs w:val="24"/>
          <w:lang w:eastAsia="bg-BG"/>
        </w:rPr>
        <w:t xml:space="preserve"> </w:t>
      </w:r>
      <w:r w:rsidR="00954DB6">
        <w:rPr>
          <w:rFonts w:ascii="Times New Roman" w:hAnsi="Times New Roman"/>
          <w:sz w:val="24"/>
          <w:szCs w:val="24"/>
          <w:lang w:eastAsia="bg-BG"/>
        </w:rPr>
        <w:t>проект</w:t>
      </w:r>
      <w:r w:rsidR="00C731E6">
        <w:rPr>
          <w:rFonts w:ascii="Times New Roman" w:hAnsi="Times New Roman"/>
          <w:sz w:val="24"/>
          <w:szCs w:val="24"/>
          <w:lang w:eastAsia="bg-BG"/>
        </w:rPr>
        <w:t>ите.</w:t>
      </w:r>
      <w:r w:rsidRPr="006B4448">
        <w:rPr>
          <w:rFonts w:ascii="Times New Roman" w:hAnsi="Times New Roman"/>
          <w:sz w:val="24"/>
          <w:szCs w:val="24"/>
          <w:lang w:eastAsia="bg-BG"/>
        </w:rPr>
        <w:t xml:space="preserve"> С предоставянето на средства от европейските фондове се постига съществено </w:t>
      </w:r>
      <w:r w:rsidR="009A1944">
        <w:rPr>
          <w:rFonts w:ascii="Times New Roman" w:hAnsi="Times New Roman"/>
          <w:sz w:val="24"/>
          <w:szCs w:val="24"/>
          <w:lang w:eastAsia="bg-BG"/>
        </w:rPr>
        <w:t xml:space="preserve">нарастване на </w:t>
      </w:r>
      <w:r w:rsidR="00C731E6">
        <w:rPr>
          <w:rFonts w:ascii="Times New Roman" w:hAnsi="Times New Roman"/>
          <w:sz w:val="24"/>
          <w:szCs w:val="24"/>
          <w:lang w:eastAsia="bg-BG"/>
        </w:rPr>
        <w:t xml:space="preserve">техния </w:t>
      </w:r>
      <w:r w:rsidR="009A1944">
        <w:rPr>
          <w:rFonts w:ascii="Times New Roman" w:hAnsi="Times New Roman"/>
          <w:sz w:val="24"/>
          <w:szCs w:val="24"/>
          <w:lang w:eastAsia="bg-BG"/>
        </w:rPr>
        <w:t>обхват</w:t>
      </w:r>
      <w:r w:rsidRPr="006B4448">
        <w:rPr>
          <w:rFonts w:ascii="Times New Roman" w:hAnsi="Times New Roman"/>
          <w:sz w:val="24"/>
          <w:szCs w:val="24"/>
          <w:lang w:eastAsia="bg-BG"/>
        </w:rPr>
        <w:t>.</w:t>
      </w:r>
    </w:p>
    <w:p w14:paraId="37B889CB" w14:textId="77777777" w:rsidR="00FD4CC6" w:rsidRPr="006B4448" w:rsidRDefault="00FD4CC6" w:rsidP="00FD4CC6">
      <w:pPr>
        <w:autoSpaceDE w:val="0"/>
        <w:autoSpaceDN w:val="0"/>
        <w:adjustRightInd w:val="0"/>
        <w:spacing w:before="120" w:after="120" w:line="240" w:lineRule="auto"/>
        <w:ind w:firstLine="708"/>
        <w:jc w:val="both"/>
        <w:rPr>
          <w:rFonts w:ascii="Times New Roman" w:hAnsi="Times New Roman"/>
          <w:b/>
          <w:sz w:val="24"/>
          <w:szCs w:val="24"/>
          <w:lang w:eastAsia="bg-BG"/>
        </w:rPr>
      </w:pPr>
      <w:r w:rsidRPr="006B4448">
        <w:rPr>
          <w:rFonts w:ascii="Times New Roman" w:hAnsi="Times New Roman"/>
          <w:b/>
          <w:sz w:val="24"/>
          <w:szCs w:val="24"/>
          <w:lang w:eastAsia="bg-BG"/>
        </w:rPr>
        <w:t>Интензитет на помощта и допустими разходи</w:t>
      </w:r>
    </w:p>
    <w:p w14:paraId="3D8AFC80" w14:textId="77777777" w:rsidR="00FD4CC6" w:rsidRPr="006B4448" w:rsidRDefault="00FD4CC6" w:rsidP="00FD4CC6">
      <w:pPr>
        <w:autoSpaceDE w:val="0"/>
        <w:autoSpaceDN w:val="0"/>
        <w:adjustRightInd w:val="0"/>
        <w:spacing w:before="120" w:after="120" w:line="240" w:lineRule="auto"/>
        <w:ind w:firstLine="708"/>
        <w:jc w:val="both"/>
        <w:rPr>
          <w:rFonts w:ascii="Times New Roman" w:hAnsi="Times New Roman"/>
          <w:sz w:val="24"/>
          <w:szCs w:val="24"/>
          <w:lang w:eastAsia="bg-BG"/>
        </w:rPr>
      </w:pPr>
      <w:r w:rsidRPr="006B4448">
        <w:rPr>
          <w:rFonts w:ascii="Times New Roman" w:hAnsi="Times New Roman"/>
          <w:sz w:val="24"/>
          <w:szCs w:val="24"/>
          <w:lang w:eastAsia="bg-BG"/>
        </w:rPr>
        <w:t xml:space="preserve">Интензитетът на помощта и допустимите разходи ще се изчисли в съответствие с </w:t>
      </w:r>
      <w:r w:rsidR="008C0F4A">
        <w:rPr>
          <w:rFonts w:ascii="Times New Roman" w:hAnsi="Times New Roman"/>
          <w:sz w:val="24"/>
          <w:szCs w:val="24"/>
          <w:lang w:eastAsia="bg-BG"/>
        </w:rPr>
        <w:t xml:space="preserve">параграф 6 на </w:t>
      </w:r>
      <w:r w:rsidRPr="006B4448">
        <w:rPr>
          <w:rFonts w:ascii="Times New Roman" w:hAnsi="Times New Roman"/>
          <w:sz w:val="24"/>
          <w:szCs w:val="24"/>
          <w:lang w:eastAsia="bg-BG"/>
        </w:rPr>
        <w:t xml:space="preserve">чл. </w:t>
      </w:r>
      <w:r w:rsidR="009A1944">
        <w:rPr>
          <w:rFonts w:ascii="Times New Roman" w:hAnsi="Times New Roman"/>
          <w:sz w:val="24"/>
          <w:szCs w:val="24"/>
          <w:lang w:eastAsia="bg-BG"/>
        </w:rPr>
        <w:t>36а</w:t>
      </w:r>
      <w:r w:rsidRPr="006B4448">
        <w:rPr>
          <w:rFonts w:ascii="Times New Roman" w:hAnsi="Times New Roman"/>
          <w:sz w:val="24"/>
          <w:szCs w:val="24"/>
          <w:lang w:eastAsia="bg-BG"/>
        </w:rPr>
        <w:t xml:space="preserve"> от Регламент (ЕС) № 651/2014.</w:t>
      </w:r>
    </w:p>
    <w:p w14:paraId="1805867B" w14:textId="152CD136" w:rsidR="00FD4CC6" w:rsidRDefault="00FD4CC6" w:rsidP="00FD4CC6">
      <w:pPr>
        <w:autoSpaceDE w:val="0"/>
        <w:autoSpaceDN w:val="0"/>
        <w:adjustRightInd w:val="0"/>
        <w:spacing w:before="120" w:after="120" w:line="240" w:lineRule="auto"/>
        <w:ind w:firstLine="708"/>
        <w:jc w:val="both"/>
        <w:rPr>
          <w:rFonts w:ascii="Times New Roman" w:hAnsi="Times New Roman"/>
          <w:sz w:val="24"/>
          <w:szCs w:val="24"/>
          <w:lang w:eastAsia="bg-BG"/>
        </w:rPr>
      </w:pPr>
      <w:r w:rsidRPr="006B4448">
        <w:rPr>
          <w:rFonts w:ascii="Times New Roman" w:hAnsi="Times New Roman"/>
          <w:sz w:val="24"/>
          <w:szCs w:val="24"/>
          <w:lang w:eastAsia="bg-BG"/>
        </w:rPr>
        <w:t xml:space="preserve">Общият размер на БФП, който ще бъде предоставен </w:t>
      </w:r>
      <w:r>
        <w:rPr>
          <w:rFonts w:ascii="Times New Roman" w:hAnsi="Times New Roman"/>
          <w:sz w:val="24"/>
          <w:szCs w:val="24"/>
          <w:lang w:eastAsia="bg-BG"/>
        </w:rPr>
        <w:t xml:space="preserve">за </w:t>
      </w:r>
      <w:r w:rsidR="00C731E6">
        <w:rPr>
          <w:rFonts w:ascii="Times New Roman" w:hAnsi="Times New Roman"/>
          <w:sz w:val="24"/>
          <w:szCs w:val="24"/>
          <w:lang w:eastAsia="bg-BG"/>
        </w:rPr>
        <w:t xml:space="preserve">всеки конкретен </w:t>
      </w:r>
      <w:r>
        <w:rPr>
          <w:rFonts w:ascii="Times New Roman" w:hAnsi="Times New Roman"/>
          <w:sz w:val="24"/>
          <w:szCs w:val="24"/>
          <w:lang w:eastAsia="bg-BG"/>
        </w:rPr>
        <w:t>проект</w:t>
      </w:r>
      <w:r w:rsidRPr="006B4448">
        <w:rPr>
          <w:rFonts w:ascii="Times New Roman" w:hAnsi="Times New Roman"/>
          <w:sz w:val="24"/>
          <w:szCs w:val="24"/>
          <w:lang w:eastAsia="bg-BG"/>
        </w:rPr>
        <w:t xml:space="preserve">, ще бъде определен в съответствие с чл. </w:t>
      </w:r>
      <w:r w:rsidR="00945584">
        <w:rPr>
          <w:rFonts w:ascii="Times New Roman" w:hAnsi="Times New Roman"/>
          <w:sz w:val="24"/>
          <w:szCs w:val="24"/>
          <w:lang w:eastAsia="bg-BG"/>
        </w:rPr>
        <w:t>36а</w:t>
      </w:r>
      <w:r w:rsidRPr="006B4448">
        <w:rPr>
          <w:rFonts w:ascii="Times New Roman" w:hAnsi="Times New Roman"/>
          <w:sz w:val="24"/>
          <w:szCs w:val="24"/>
          <w:lang w:eastAsia="bg-BG"/>
        </w:rPr>
        <w:t xml:space="preserve"> от Регламент (ЕС) № 651/2014 от 17 юни </w:t>
      </w:r>
      <w:r w:rsidR="00945584">
        <w:rPr>
          <w:rFonts w:ascii="Times New Roman" w:hAnsi="Times New Roman"/>
          <w:sz w:val="24"/>
          <w:szCs w:val="24"/>
          <w:lang w:eastAsia="bg-BG"/>
        </w:rPr>
        <w:t xml:space="preserve">2014 г., въз основа на финансовия план </w:t>
      </w:r>
      <w:r w:rsidRPr="006B4448">
        <w:rPr>
          <w:rFonts w:ascii="Times New Roman" w:hAnsi="Times New Roman"/>
          <w:sz w:val="24"/>
          <w:szCs w:val="24"/>
          <w:lang w:eastAsia="bg-BG"/>
        </w:rPr>
        <w:t>на проекта като част от общия размер на допустимите разходи за целия инвестиционен проект и при съответствие с разрешения интензитет на помощта.</w:t>
      </w:r>
    </w:p>
    <w:p w14:paraId="2704D734" w14:textId="77777777" w:rsidR="008C0F4A" w:rsidRPr="00EE5029" w:rsidRDefault="00900B2D" w:rsidP="00FD4CC6">
      <w:pPr>
        <w:autoSpaceDE w:val="0"/>
        <w:autoSpaceDN w:val="0"/>
        <w:adjustRightInd w:val="0"/>
        <w:spacing w:before="120" w:after="120" w:line="240" w:lineRule="auto"/>
        <w:ind w:firstLine="708"/>
        <w:jc w:val="both"/>
        <w:rPr>
          <w:rFonts w:ascii="Times New Roman" w:hAnsi="Times New Roman"/>
          <w:sz w:val="24"/>
          <w:szCs w:val="24"/>
          <w:lang w:eastAsia="bg-BG"/>
        </w:rPr>
      </w:pPr>
      <w:r>
        <w:rPr>
          <w:rFonts w:ascii="Times New Roman" w:hAnsi="Times New Roman"/>
          <w:sz w:val="24"/>
          <w:szCs w:val="24"/>
          <w:lang w:eastAsia="bg-BG"/>
        </w:rPr>
        <w:t>Съгласно параграф 6, когато помощта се предоставя въз основа на схема за помощ интензитетът на помощта не надхвърля 20% от допустимите разходи по процедурата. Интензитетът на помощта може да бъде увеличен 20 процентни пункта за средни предприятия и 30 процентни пункта за малки предприятия. Допълнително интензитетът на помощта може да бъде увеличен с 15% за инвестиции, осъществявани в подпомагани р</w:t>
      </w:r>
      <w:r w:rsidR="00A71C01">
        <w:rPr>
          <w:rFonts w:ascii="Times New Roman" w:hAnsi="Times New Roman"/>
          <w:sz w:val="24"/>
          <w:szCs w:val="24"/>
          <w:lang w:eastAsia="bg-BG"/>
        </w:rPr>
        <w:t>егиони, определени в</w:t>
      </w:r>
      <w:r w:rsidR="00C614AA">
        <w:rPr>
          <w:rFonts w:ascii="Times New Roman" w:hAnsi="Times New Roman"/>
          <w:sz w:val="24"/>
          <w:szCs w:val="24"/>
          <w:lang w:eastAsia="bg-BG"/>
        </w:rPr>
        <w:t xml:space="preserve"> карта на регионалните помощи, </w:t>
      </w:r>
      <w:r w:rsidR="00A71C01">
        <w:rPr>
          <w:rFonts w:ascii="Times New Roman" w:hAnsi="Times New Roman"/>
          <w:sz w:val="24"/>
          <w:szCs w:val="24"/>
          <w:lang w:eastAsia="bg-BG"/>
        </w:rPr>
        <w:t xml:space="preserve">валидна към момента на предоставянето на помощта и одобрена в изпълнение на чл. 107, параграф 3, буква а) от Договора, и с 5 процентни пункта за инвестиции, осъществявани в подпомагани региони, определени в карта на регионалните помощи, 2валидна към момента на предоставянето на помощта и одобрена в изпълнение </w:t>
      </w:r>
      <w:r w:rsidR="00A71C01" w:rsidRPr="00EE5029">
        <w:rPr>
          <w:rFonts w:ascii="Times New Roman" w:hAnsi="Times New Roman"/>
          <w:sz w:val="24"/>
          <w:szCs w:val="24"/>
          <w:lang w:eastAsia="bg-BG"/>
        </w:rPr>
        <w:t>на чл. 107, параграф 3, буква в) от Договора.</w:t>
      </w:r>
    </w:p>
    <w:p w14:paraId="7FC0BA68" w14:textId="7362B3D2" w:rsidR="00A71C01" w:rsidRDefault="00C614AA" w:rsidP="00FD4CC6">
      <w:pPr>
        <w:autoSpaceDE w:val="0"/>
        <w:autoSpaceDN w:val="0"/>
        <w:adjustRightInd w:val="0"/>
        <w:spacing w:before="120" w:after="120" w:line="240" w:lineRule="auto"/>
        <w:ind w:firstLine="708"/>
        <w:jc w:val="both"/>
        <w:rPr>
          <w:rFonts w:ascii="Times New Roman" w:hAnsi="Times New Roman"/>
          <w:sz w:val="24"/>
          <w:szCs w:val="24"/>
          <w:lang w:eastAsia="bg-BG"/>
        </w:rPr>
      </w:pPr>
      <w:r w:rsidRPr="00EE5029">
        <w:rPr>
          <w:rFonts w:ascii="Times New Roman" w:hAnsi="Times New Roman"/>
          <w:sz w:val="24"/>
          <w:szCs w:val="24"/>
          <w:lang w:eastAsia="bg-BG"/>
        </w:rPr>
        <w:t xml:space="preserve">С оглед на факта, че по настоящата процедура ще бъдат предоставена БФП чрез схема </w:t>
      </w:r>
      <w:r w:rsidR="00B808F1" w:rsidRPr="00B808F1">
        <w:rPr>
          <w:rFonts w:ascii="Times New Roman" w:hAnsi="Times New Roman"/>
          <w:sz w:val="24"/>
          <w:szCs w:val="24"/>
          <w:lang w:eastAsia="bg-BG"/>
        </w:rPr>
        <w:t>за помощ</w:t>
      </w:r>
      <w:r w:rsidR="00B808F1">
        <w:rPr>
          <w:rFonts w:ascii="Times New Roman" w:hAnsi="Times New Roman"/>
          <w:sz w:val="24"/>
          <w:szCs w:val="24"/>
          <w:lang w:eastAsia="bg-BG"/>
        </w:rPr>
        <w:t xml:space="preserve">, </w:t>
      </w:r>
      <w:r w:rsidR="00B808F1" w:rsidRPr="00B808F1">
        <w:rPr>
          <w:rFonts w:ascii="Times New Roman" w:hAnsi="Times New Roman"/>
          <w:sz w:val="24"/>
          <w:szCs w:val="24"/>
          <w:lang w:eastAsia="bg-BG"/>
        </w:rPr>
        <w:t>без да се провежда конкурентна тръжна процедура</w:t>
      </w:r>
      <w:r w:rsidRPr="00EE5029">
        <w:rPr>
          <w:rFonts w:ascii="Times New Roman" w:hAnsi="Times New Roman"/>
          <w:sz w:val="24"/>
          <w:szCs w:val="24"/>
          <w:lang w:eastAsia="bg-BG"/>
        </w:rPr>
        <w:t xml:space="preserve">, процедурата </w:t>
      </w:r>
      <w:r w:rsidR="005D54F6" w:rsidRPr="00EE5029">
        <w:rPr>
          <w:rFonts w:ascii="Times New Roman" w:hAnsi="Times New Roman"/>
          <w:sz w:val="24"/>
          <w:szCs w:val="24"/>
          <w:lang w:eastAsia="bg-BG"/>
        </w:rPr>
        <w:t>e в съответс</w:t>
      </w:r>
      <w:r w:rsidR="00EE5029" w:rsidRPr="00EE5029">
        <w:rPr>
          <w:rFonts w:ascii="Times New Roman" w:hAnsi="Times New Roman"/>
          <w:sz w:val="24"/>
          <w:szCs w:val="24"/>
          <w:lang w:eastAsia="bg-BG"/>
        </w:rPr>
        <w:t>т</w:t>
      </w:r>
      <w:r w:rsidR="005D54F6" w:rsidRPr="00EE5029">
        <w:rPr>
          <w:rFonts w:ascii="Times New Roman" w:hAnsi="Times New Roman"/>
          <w:sz w:val="24"/>
          <w:szCs w:val="24"/>
          <w:lang w:eastAsia="bg-BG"/>
        </w:rPr>
        <w:t>вие с определението за схема за помощ съгласно пар. 15 на чл. 2 и ще бъде</w:t>
      </w:r>
      <w:r w:rsidR="005D54F6">
        <w:rPr>
          <w:rFonts w:ascii="Times New Roman" w:hAnsi="Times New Roman"/>
          <w:sz w:val="24"/>
          <w:szCs w:val="24"/>
          <w:lang w:eastAsia="bg-BG"/>
        </w:rPr>
        <w:t xml:space="preserve"> приложен следния интензитет на предоставената БФП за всяко проектно предложение:</w:t>
      </w:r>
    </w:p>
    <w:p w14:paraId="1FBC23CA" w14:textId="77777777" w:rsidR="00F25502" w:rsidRPr="005D54F6" w:rsidRDefault="00F25502" w:rsidP="00FD4CC6">
      <w:pPr>
        <w:autoSpaceDE w:val="0"/>
        <w:autoSpaceDN w:val="0"/>
        <w:adjustRightInd w:val="0"/>
        <w:spacing w:before="120" w:after="120" w:line="240" w:lineRule="auto"/>
        <w:ind w:firstLine="708"/>
        <w:jc w:val="both"/>
        <w:rPr>
          <w:rFonts w:ascii="Times New Roman" w:hAnsi="Times New Roman"/>
          <w:sz w:val="24"/>
          <w:szCs w:val="24"/>
          <w:lang w:eastAsia="bg-BG"/>
        </w:rPr>
      </w:pPr>
    </w:p>
    <w:tbl>
      <w:tblPr>
        <w:tblStyle w:val="ListTable6Colorful"/>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90"/>
        <w:gridCol w:w="1791"/>
      </w:tblGrid>
      <w:tr w:rsidR="00F25502" w:rsidRPr="00D62250" w14:paraId="6E5FC20E" w14:textId="77777777" w:rsidTr="0025340A">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3990" w:type="dxa"/>
          </w:tcPr>
          <w:p w14:paraId="0FB5C78A" w14:textId="77777777" w:rsidR="00F25502" w:rsidRPr="00D62250" w:rsidRDefault="00F25502" w:rsidP="0025340A">
            <w:pPr>
              <w:spacing w:after="100" w:afterAutospacing="1" w:line="320" w:lineRule="exact"/>
              <w:rPr>
                <w:rFonts w:ascii="Times New Roman" w:eastAsia="Arial Unicode MS" w:hAnsi="Times New Roman"/>
                <w:color w:val="auto"/>
                <w:sz w:val="24"/>
                <w:szCs w:val="24"/>
              </w:rPr>
            </w:pPr>
            <w:r w:rsidRPr="00D62250">
              <w:rPr>
                <w:rFonts w:ascii="Times New Roman" w:eastAsia="Arial Unicode MS" w:hAnsi="Times New Roman"/>
                <w:color w:val="auto"/>
                <w:sz w:val="24"/>
                <w:szCs w:val="24"/>
              </w:rPr>
              <w:lastRenderedPageBreak/>
              <w:t xml:space="preserve">Вид </w:t>
            </w:r>
            <w:r>
              <w:rPr>
                <w:rFonts w:ascii="Times New Roman" w:eastAsia="Arial Unicode MS" w:hAnsi="Times New Roman"/>
                <w:color w:val="auto"/>
                <w:sz w:val="24"/>
                <w:szCs w:val="24"/>
              </w:rPr>
              <w:t>предприятие</w:t>
            </w:r>
            <w:r>
              <w:rPr>
                <w:rStyle w:val="FootnoteReference"/>
                <w:rFonts w:ascii="Times New Roman" w:eastAsia="Arial Unicode MS" w:hAnsi="Times New Roman"/>
                <w:color w:val="auto"/>
                <w:sz w:val="24"/>
                <w:szCs w:val="24"/>
              </w:rPr>
              <w:footnoteReference w:id="2"/>
            </w:r>
          </w:p>
        </w:tc>
        <w:tc>
          <w:tcPr>
            <w:tcW w:w="1791" w:type="dxa"/>
          </w:tcPr>
          <w:p w14:paraId="4BB4B3BA" w14:textId="77777777" w:rsidR="00F25502" w:rsidRPr="00D62250" w:rsidRDefault="00F25502" w:rsidP="0025340A">
            <w:pPr>
              <w:spacing w:after="100" w:afterAutospacing="1" w:line="320" w:lineRule="exact"/>
              <w:cnfStyle w:val="100000000000" w:firstRow="1" w:lastRow="0" w:firstColumn="0" w:lastColumn="0" w:oddVBand="0" w:evenVBand="0" w:oddHBand="0" w:evenHBand="0" w:firstRowFirstColumn="0" w:firstRowLastColumn="0" w:lastRowFirstColumn="0" w:lastRowLastColumn="0"/>
              <w:rPr>
                <w:rFonts w:ascii="Times New Roman" w:eastAsia="Arial Unicode MS" w:hAnsi="Times New Roman"/>
                <w:color w:val="auto"/>
                <w:sz w:val="24"/>
                <w:szCs w:val="24"/>
              </w:rPr>
            </w:pPr>
            <w:r w:rsidRPr="00D62250">
              <w:rPr>
                <w:rFonts w:ascii="Times New Roman" w:eastAsia="Arial Unicode MS" w:hAnsi="Times New Roman"/>
                <w:color w:val="auto"/>
                <w:sz w:val="24"/>
                <w:szCs w:val="24"/>
              </w:rPr>
              <w:t>Регион тип А</w:t>
            </w:r>
            <w:r>
              <w:rPr>
                <w:rStyle w:val="FootnoteReference"/>
                <w:rFonts w:ascii="Times New Roman" w:eastAsia="Arial Unicode MS" w:hAnsi="Times New Roman"/>
                <w:color w:val="auto"/>
                <w:sz w:val="24"/>
                <w:szCs w:val="24"/>
              </w:rPr>
              <w:footnoteReference w:id="3"/>
            </w:r>
            <w:r w:rsidRPr="00D62250">
              <w:rPr>
                <w:rFonts w:ascii="Times New Roman" w:eastAsia="Arial Unicode MS" w:hAnsi="Times New Roman"/>
                <w:color w:val="auto"/>
                <w:sz w:val="24"/>
                <w:szCs w:val="24"/>
              </w:rPr>
              <w:t xml:space="preserve"> </w:t>
            </w:r>
          </w:p>
        </w:tc>
      </w:tr>
      <w:tr w:rsidR="00B1465D" w:rsidRPr="00D62250" w14:paraId="0C8F880A" w14:textId="77777777" w:rsidTr="0025340A">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3990" w:type="dxa"/>
          </w:tcPr>
          <w:p w14:paraId="6A3E6B26" w14:textId="5C4F83C9" w:rsidR="00B1465D" w:rsidRPr="00D62250" w:rsidRDefault="00B1465D" w:rsidP="00B1465D">
            <w:pPr>
              <w:spacing w:after="100" w:afterAutospacing="1" w:line="320" w:lineRule="exact"/>
              <w:rPr>
                <w:rFonts w:ascii="Times New Roman" w:eastAsia="Arial Unicode MS" w:hAnsi="Times New Roman"/>
                <w:sz w:val="24"/>
                <w:szCs w:val="24"/>
              </w:rPr>
            </w:pPr>
            <w:r>
              <w:rPr>
                <w:rFonts w:ascii="Times New Roman" w:eastAsia="Arial Unicode MS" w:hAnsi="Times New Roman"/>
                <w:color w:val="auto"/>
                <w:sz w:val="24"/>
                <w:szCs w:val="24"/>
              </w:rPr>
              <w:t xml:space="preserve">Микро и </w:t>
            </w:r>
            <w:r w:rsidRPr="00D62250">
              <w:rPr>
                <w:rFonts w:ascii="Times New Roman" w:eastAsia="Arial Unicode MS" w:hAnsi="Times New Roman"/>
                <w:color w:val="auto"/>
                <w:sz w:val="24"/>
                <w:szCs w:val="24"/>
              </w:rPr>
              <w:t>Малко предприятие</w:t>
            </w:r>
          </w:p>
        </w:tc>
        <w:tc>
          <w:tcPr>
            <w:tcW w:w="1791" w:type="dxa"/>
          </w:tcPr>
          <w:p w14:paraId="77A192F4" w14:textId="6770D191" w:rsidR="00B1465D" w:rsidRPr="00D62250" w:rsidRDefault="00B1465D" w:rsidP="00B1465D">
            <w:pPr>
              <w:spacing w:after="100" w:afterAutospacing="1" w:line="320" w:lineRule="exact"/>
              <w:cnfStyle w:val="000000100000" w:firstRow="0" w:lastRow="0" w:firstColumn="0" w:lastColumn="0" w:oddVBand="0" w:evenVBand="0" w:oddHBand="1" w:evenHBand="0" w:firstRowFirstColumn="0" w:firstRowLastColumn="0" w:lastRowFirstColumn="0" w:lastRowLastColumn="0"/>
              <w:rPr>
                <w:rFonts w:ascii="Times New Roman" w:eastAsia="Arial Unicode MS" w:hAnsi="Times New Roman"/>
                <w:sz w:val="24"/>
                <w:szCs w:val="24"/>
              </w:rPr>
            </w:pPr>
            <w:r w:rsidRPr="00D62250">
              <w:rPr>
                <w:rFonts w:ascii="Times New Roman" w:eastAsia="Arial Unicode MS" w:hAnsi="Times New Roman"/>
                <w:color w:val="auto"/>
                <w:sz w:val="24"/>
                <w:szCs w:val="24"/>
              </w:rPr>
              <w:t>50% + 15%</w:t>
            </w:r>
          </w:p>
        </w:tc>
      </w:tr>
      <w:tr w:rsidR="00B1465D" w:rsidRPr="00D62250" w14:paraId="75D7A5E5" w14:textId="77777777" w:rsidTr="0025340A">
        <w:trPr>
          <w:jc w:val="center"/>
        </w:trPr>
        <w:tc>
          <w:tcPr>
            <w:cnfStyle w:val="001000000000" w:firstRow="0" w:lastRow="0" w:firstColumn="1" w:lastColumn="0" w:oddVBand="0" w:evenVBand="0" w:oddHBand="0" w:evenHBand="0" w:firstRowFirstColumn="0" w:firstRowLastColumn="0" w:lastRowFirstColumn="0" w:lastRowLastColumn="0"/>
            <w:tcW w:w="3990" w:type="dxa"/>
          </w:tcPr>
          <w:p w14:paraId="6E5D2589" w14:textId="77777777" w:rsidR="00B1465D" w:rsidRPr="00D62250" w:rsidRDefault="00B1465D" w:rsidP="00B1465D">
            <w:pPr>
              <w:spacing w:after="100" w:afterAutospacing="1" w:line="320" w:lineRule="exact"/>
              <w:rPr>
                <w:rFonts w:ascii="Times New Roman" w:eastAsia="Arial Unicode MS" w:hAnsi="Times New Roman"/>
                <w:color w:val="auto"/>
                <w:sz w:val="24"/>
                <w:szCs w:val="24"/>
              </w:rPr>
            </w:pPr>
            <w:r w:rsidRPr="00D62250">
              <w:rPr>
                <w:rFonts w:ascii="Times New Roman" w:eastAsia="Arial Unicode MS" w:hAnsi="Times New Roman"/>
                <w:color w:val="auto"/>
                <w:sz w:val="24"/>
                <w:szCs w:val="24"/>
              </w:rPr>
              <w:t>Средно предприятие</w:t>
            </w:r>
          </w:p>
        </w:tc>
        <w:tc>
          <w:tcPr>
            <w:tcW w:w="1791" w:type="dxa"/>
          </w:tcPr>
          <w:p w14:paraId="0675F228" w14:textId="77777777" w:rsidR="00B1465D" w:rsidRPr="00D62250" w:rsidRDefault="00B1465D" w:rsidP="00B1465D">
            <w:pPr>
              <w:spacing w:after="100" w:afterAutospacing="1" w:line="320" w:lineRule="exact"/>
              <w:cnfStyle w:val="000000000000" w:firstRow="0" w:lastRow="0" w:firstColumn="0" w:lastColumn="0" w:oddVBand="0" w:evenVBand="0" w:oddHBand="0" w:evenHBand="0" w:firstRowFirstColumn="0" w:firstRowLastColumn="0" w:lastRowFirstColumn="0" w:lastRowLastColumn="0"/>
              <w:rPr>
                <w:rFonts w:ascii="Times New Roman" w:eastAsia="Arial Unicode MS" w:hAnsi="Times New Roman"/>
                <w:color w:val="auto"/>
                <w:sz w:val="24"/>
                <w:szCs w:val="24"/>
              </w:rPr>
            </w:pPr>
            <w:r w:rsidRPr="00D62250">
              <w:rPr>
                <w:rFonts w:ascii="Times New Roman" w:eastAsia="Arial Unicode MS" w:hAnsi="Times New Roman"/>
                <w:color w:val="auto"/>
                <w:sz w:val="24"/>
                <w:szCs w:val="24"/>
              </w:rPr>
              <w:t>40% + 15%</w:t>
            </w:r>
          </w:p>
        </w:tc>
      </w:tr>
      <w:tr w:rsidR="00B1465D" w:rsidRPr="00D62250" w14:paraId="7649F238" w14:textId="77777777" w:rsidTr="0025340A">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3990" w:type="dxa"/>
          </w:tcPr>
          <w:p w14:paraId="6D043953" w14:textId="1138A015" w:rsidR="00B1465D" w:rsidRPr="00D62250" w:rsidRDefault="00B1465D" w:rsidP="00B1465D">
            <w:pPr>
              <w:spacing w:after="100" w:afterAutospacing="1" w:line="320" w:lineRule="exact"/>
              <w:rPr>
                <w:rFonts w:ascii="Times New Roman" w:eastAsia="Arial Unicode MS" w:hAnsi="Times New Roman"/>
                <w:color w:val="auto"/>
                <w:sz w:val="24"/>
                <w:szCs w:val="24"/>
              </w:rPr>
            </w:pPr>
            <w:r>
              <w:rPr>
                <w:rFonts w:ascii="Times New Roman" w:eastAsia="Arial Unicode MS" w:hAnsi="Times New Roman"/>
                <w:sz w:val="24"/>
                <w:szCs w:val="24"/>
              </w:rPr>
              <w:t>Голямо предприятие</w:t>
            </w:r>
          </w:p>
        </w:tc>
        <w:tc>
          <w:tcPr>
            <w:tcW w:w="1791" w:type="dxa"/>
          </w:tcPr>
          <w:p w14:paraId="56181E29" w14:textId="4461F4E9" w:rsidR="00B1465D" w:rsidRPr="00D62250" w:rsidRDefault="00B1465D" w:rsidP="00B1465D">
            <w:pPr>
              <w:spacing w:after="100" w:afterAutospacing="1" w:line="320" w:lineRule="exact"/>
              <w:cnfStyle w:val="000000100000" w:firstRow="0" w:lastRow="0" w:firstColumn="0" w:lastColumn="0" w:oddVBand="0" w:evenVBand="0" w:oddHBand="1" w:evenHBand="0" w:firstRowFirstColumn="0" w:firstRowLastColumn="0" w:lastRowFirstColumn="0" w:lastRowLastColumn="0"/>
              <w:rPr>
                <w:rFonts w:ascii="Times New Roman" w:eastAsia="Arial Unicode MS" w:hAnsi="Times New Roman"/>
                <w:color w:val="auto"/>
                <w:sz w:val="24"/>
                <w:szCs w:val="24"/>
              </w:rPr>
            </w:pPr>
            <w:r>
              <w:rPr>
                <w:rFonts w:ascii="Times New Roman" w:eastAsia="Arial Unicode MS" w:hAnsi="Times New Roman"/>
                <w:sz w:val="24"/>
                <w:szCs w:val="24"/>
              </w:rPr>
              <w:t>20% + 15%</w:t>
            </w:r>
          </w:p>
        </w:tc>
      </w:tr>
    </w:tbl>
    <w:p w14:paraId="0DDE3AB2" w14:textId="77777777" w:rsidR="00A71C01" w:rsidRDefault="00786CDE" w:rsidP="00FD4CC6">
      <w:pPr>
        <w:autoSpaceDE w:val="0"/>
        <w:autoSpaceDN w:val="0"/>
        <w:adjustRightInd w:val="0"/>
        <w:spacing w:before="120" w:after="120" w:line="240" w:lineRule="auto"/>
        <w:ind w:firstLine="708"/>
        <w:jc w:val="both"/>
        <w:rPr>
          <w:rFonts w:ascii="Times New Roman" w:hAnsi="Times New Roman"/>
          <w:sz w:val="24"/>
          <w:szCs w:val="24"/>
          <w:lang w:eastAsia="bg-BG"/>
        </w:rPr>
      </w:pPr>
      <w:r>
        <w:rPr>
          <w:rFonts w:ascii="Times New Roman" w:hAnsi="Times New Roman"/>
          <w:sz w:val="24"/>
          <w:szCs w:val="24"/>
          <w:lang w:eastAsia="bg-BG"/>
        </w:rPr>
        <w:t xml:space="preserve">Съгласно пар. 8 на чл. 36а </w:t>
      </w:r>
      <w:r w:rsidR="00C65C06">
        <w:rPr>
          <w:rFonts w:ascii="Times New Roman" w:hAnsi="Times New Roman"/>
          <w:sz w:val="24"/>
          <w:szCs w:val="24"/>
          <w:lang w:eastAsia="bg-BG"/>
        </w:rPr>
        <w:t xml:space="preserve">задължително условие за предоставяне на </w:t>
      </w:r>
      <w:r>
        <w:rPr>
          <w:rFonts w:ascii="Times New Roman" w:hAnsi="Times New Roman"/>
          <w:sz w:val="24"/>
          <w:szCs w:val="24"/>
          <w:lang w:eastAsia="bg-BG"/>
        </w:rPr>
        <w:t xml:space="preserve">помощта </w:t>
      </w:r>
      <w:r w:rsidR="00C65C06">
        <w:rPr>
          <w:rFonts w:ascii="Times New Roman" w:hAnsi="Times New Roman"/>
          <w:sz w:val="24"/>
          <w:szCs w:val="24"/>
          <w:lang w:eastAsia="bg-BG"/>
        </w:rPr>
        <w:t xml:space="preserve">е тя да </w:t>
      </w:r>
      <w:r>
        <w:rPr>
          <w:rFonts w:ascii="Times New Roman" w:hAnsi="Times New Roman"/>
          <w:sz w:val="24"/>
          <w:szCs w:val="24"/>
          <w:lang w:eastAsia="bg-BG"/>
        </w:rPr>
        <w:t>се предоставя само за изграждането, инсталирането, модернизирането или разширяването на публично достъпна инфраструктура за зареждане с електроенергия, осигуряваща недискриминационен достъп на ползвателите, вкл. по отношение на тарифи, автентификация и методи за плащане, както и други условия за ползване – каквито са и заложените условия за кандидатстване по настоящата процедура.</w:t>
      </w:r>
    </w:p>
    <w:p w14:paraId="217E64F4" w14:textId="7CFD59B8" w:rsidR="008E4A1B" w:rsidRPr="006B4448" w:rsidRDefault="008E4A1B" w:rsidP="008E4A1B">
      <w:pPr>
        <w:autoSpaceDE w:val="0"/>
        <w:autoSpaceDN w:val="0"/>
        <w:adjustRightInd w:val="0"/>
        <w:spacing w:before="120" w:after="120" w:line="240" w:lineRule="auto"/>
        <w:ind w:firstLine="708"/>
        <w:jc w:val="both"/>
        <w:rPr>
          <w:rFonts w:ascii="Times New Roman" w:hAnsi="Times New Roman"/>
          <w:bCs/>
          <w:sz w:val="24"/>
          <w:szCs w:val="24"/>
          <w:lang w:eastAsia="bg-BG"/>
        </w:rPr>
      </w:pPr>
      <w:r w:rsidRPr="00954DB6">
        <w:rPr>
          <w:rFonts w:ascii="Times New Roman" w:hAnsi="Times New Roman"/>
          <w:bCs/>
          <w:sz w:val="24"/>
          <w:szCs w:val="24"/>
          <w:lang w:eastAsia="bg-BG"/>
        </w:rPr>
        <w:t xml:space="preserve">Бюджетът на </w:t>
      </w:r>
      <w:r w:rsidR="00C731E6" w:rsidRPr="00954DB6">
        <w:rPr>
          <w:rFonts w:ascii="Times New Roman" w:hAnsi="Times New Roman"/>
          <w:bCs/>
          <w:sz w:val="24"/>
          <w:szCs w:val="24"/>
          <w:lang w:eastAsia="bg-BG"/>
        </w:rPr>
        <w:t xml:space="preserve">всеки конкретен проект </w:t>
      </w:r>
      <w:r w:rsidRPr="00954DB6">
        <w:rPr>
          <w:rFonts w:ascii="Times New Roman" w:hAnsi="Times New Roman"/>
          <w:bCs/>
          <w:sz w:val="24"/>
          <w:szCs w:val="24"/>
          <w:lang w:eastAsia="bg-BG"/>
        </w:rPr>
        <w:t xml:space="preserve">и източниците на финансиране ще бъдат определени при изготвянето на финансовия план за </w:t>
      </w:r>
      <w:r w:rsidR="00C731E6" w:rsidRPr="00954DB6">
        <w:rPr>
          <w:rFonts w:ascii="Times New Roman" w:hAnsi="Times New Roman"/>
          <w:bCs/>
          <w:sz w:val="24"/>
          <w:szCs w:val="24"/>
          <w:lang w:eastAsia="bg-BG"/>
        </w:rPr>
        <w:t>изпълнението му</w:t>
      </w:r>
      <w:r w:rsidRPr="00954DB6">
        <w:rPr>
          <w:rFonts w:ascii="Times New Roman" w:hAnsi="Times New Roman"/>
          <w:bCs/>
          <w:sz w:val="24"/>
          <w:szCs w:val="24"/>
          <w:lang w:eastAsia="bg-BG"/>
        </w:rPr>
        <w:t>.</w:t>
      </w:r>
    </w:p>
    <w:p w14:paraId="08F3B784" w14:textId="1D2C34B8" w:rsidR="00786CDE" w:rsidRDefault="002151CA" w:rsidP="00FD4CC6">
      <w:pPr>
        <w:autoSpaceDE w:val="0"/>
        <w:autoSpaceDN w:val="0"/>
        <w:adjustRightInd w:val="0"/>
        <w:spacing w:before="120" w:after="120" w:line="240" w:lineRule="auto"/>
        <w:ind w:firstLine="708"/>
        <w:jc w:val="both"/>
        <w:rPr>
          <w:rFonts w:ascii="Times New Roman" w:hAnsi="Times New Roman"/>
          <w:sz w:val="24"/>
          <w:szCs w:val="24"/>
          <w:lang w:eastAsia="bg-BG"/>
        </w:rPr>
      </w:pPr>
      <w:r>
        <w:rPr>
          <w:rFonts w:ascii="Times New Roman" w:hAnsi="Times New Roman"/>
          <w:sz w:val="24"/>
          <w:szCs w:val="24"/>
          <w:lang w:eastAsia="bg-BG"/>
        </w:rPr>
        <w:t xml:space="preserve">Начисляваните </w:t>
      </w:r>
      <w:r w:rsidR="00786CDE">
        <w:rPr>
          <w:rFonts w:ascii="Times New Roman" w:hAnsi="Times New Roman"/>
          <w:sz w:val="24"/>
          <w:szCs w:val="24"/>
          <w:lang w:eastAsia="bg-BG"/>
        </w:rPr>
        <w:t xml:space="preserve">такси на ползватели, различни от бенефициентите, за използването на инфраструктурата за зареждане следва да съответстват на пазарните цени. </w:t>
      </w:r>
    </w:p>
    <w:p w14:paraId="08BA7286" w14:textId="43EF413F" w:rsidR="002151CA" w:rsidRDefault="002151CA" w:rsidP="00FD4CC6">
      <w:pPr>
        <w:autoSpaceDE w:val="0"/>
        <w:autoSpaceDN w:val="0"/>
        <w:adjustRightInd w:val="0"/>
        <w:spacing w:before="120" w:after="120" w:line="240" w:lineRule="auto"/>
        <w:ind w:firstLine="708"/>
        <w:jc w:val="both"/>
        <w:rPr>
          <w:rFonts w:ascii="Times New Roman" w:hAnsi="Times New Roman"/>
          <w:sz w:val="24"/>
          <w:szCs w:val="24"/>
          <w:lang w:eastAsia="bg-BG"/>
        </w:rPr>
      </w:pPr>
      <w:r w:rsidRPr="002151CA">
        <w:rPr>
          <w:rFonts w:ascii="Times New Roman" w:hAnsi="Times New Roman"/>
          <w:sz w:val="24"/>
          <w:szCs w:val="24"/>
          <w:lang w:eastAsia="bg-BG"/>
        </w:rPr>
        <w:t xml:space="preserve">Операторите на инфраструктура за зареждане с електроенергия или с гориво, които предлагат или позволяват плащания, отнасящи се до тяхната инфраструктура, въз основа на договор, </w:t>
      </w:r>
      <w:r w:rsidRPr="00954DB6">
        <w:rPr>
          <w:rFonts w:ascii="Times New Roman" w:hAnsi="Times New Roman"/>
          <w:sz w:val="24"/>
          <w:szCs w:val="24"/>
          <w:lang w:eastAsia="bg-BG"/>
        </w:rPr>
        <w:t>следва да</w:t>
      </w:r>
      <w:r>
        <w:rPr>
          <w:rFonts w:ascii="Times New Roman" w:hAnsi="Times New Roman"/>
          <w:sz w:val="24"/>
          <w:szCs w:val="24"/>
          <w:lang w:eastAsia="bg-BG"/>
        </w:rPr>
        <w:t xml:space="preserve"> </w:t>
      </w:r>
      <w:r w:rsidRPr="002151CA">
        <w:rPr>
          <w:rFonts w:ascii="Times New Roman" w:hAnsi="Times New Roman"/>
          <w:sz w:val="24"/>
          <w:szCs w:val="24"/>
          <w:lang w:eastAsia="bg-BG"/>
        </w:rPr>
        <w:t>не дискриминират доставчиците на услуги за мобилност, например като прилагат необосновани преференциални условия за достъп или чрез диференциране на цените, което не почива върху обективна обосновка.</w:t>
      </w:r>
    </w:p>
    <w:p w14:paraId="2D6810CD" w14:textId="77777777" w:rsidR="00FD4CC6" w:rsidRPr="006B4448" w:rsidRDefault="00FD4CC6" w:rsidP="00FD4CC6">
      <w:pPr>
        <w:autoSpaceDE w:val="0"/>
        <w:autoSpaceDN w:val="0"/>
        <w:adjustRightInd w:val="0"/>
        <w:spacing w:before="120" w:after="120" w:line="240" w:lineRule="auto"/>
        <w:ind w:firstLine="708"/>
        <w:jc w:val="both"/>
        <w:rPr>
          <w:rFonts w:ascii="Times New Roman" w:hAnsi="Times New Roman"/>
          <w:b/>
          <w:sz w:val="24"/>
          <w:szCs w:val="24"/>
          <w:lang w:eastAsia="bg-BG"/>
        </w:rPr>
      </w:pPr>
      <w:r w:rsidRPr="006B4448">
        <w:rPr>
          <w:rFonts w:ascii="Times New Roman" w:hAnsi="Times New Roman"/>
          <w:b/>
          <w:sz w:val="24"/>
          <w:szCs w:val="24"/>
          <w:lang w:eastAsia="bg-BG"/>
        </w:rPr>
        <w:t>Натрупване</w:t>
      </w:r>
    </w:p>
    <w:p w14:paraId="0C595295" w14:textId="1E67E833" w:rsidR="00FD4CC6" w:rsidRPr="006B4448" w:rsidRDefault="00FD4CC6" w:rsidP="00FD4CC6">
      <w:pPr>
        <w:autoSpaceDE w:val="0"/>
        <w:autoSpaceDN w:val="0"/>
        <w:adjustRightInd w:val="0"/>
        <w:spacing w:before="120" w:after="120" w:line="240" w:lineRule="auto"/>
        <w:ind w:firstLine="708"/>
        <w:jc w:val="both"/>
        <w:rPr>
          <w:rFonts w:ascii="Times New Roman" w:hAnsi="Times New Roman"/>
          <w:sz w:val="24"/>
          <w:szCs w:val="24"/>
          <w:lang w:eastAsia="bg-BG"/>
        </w:rPr>
      </w:pPr>
      <w:r w:rsidRPr="006B4448">
        <w:rPr>
          <w:rFonts w:ascii="Times New Roman" w:hAnsi="Times New Roman"/>
          <w:sz w:val="24"/>
          <w:szCs w:val="24"/>
          <w:lang w:eastAsia="bg-BG"/>
        </w:rPr>
        <w:t xml:space="preserve">Безвъзмездната финансова помощ по </w:t>
      </w:r>
      <w:r w:rsidR="0066578E">
        <w:rPr>
          <w:rFonts w:ascii="Times New Roman" w:hAnsi="Times New Roman"/>
          <w:sz w:val="24"/>
          <w:szCs w:val="24"/>
          <w:lang w:eastAsia="bg-BG"/>
        </w:rPr>
        <w:t xml:space="preserve">конкретния </w:t>
      </w:r>
      <w:r>
        <w:rPr>
          <w:rFonts w:ascii="Times New Roman" w:hAnsi="Times New Roman"/>
          <w:sz w:val="24"/>
          <w:szCs w:val="24"/>
          <w:lang w:eastAsia="bg-BG"/>
        </w:rPr>
        <w:t>проект</w:t>
      </w:r>
      <w:r w:rsidRPr="006B4448">
        <w:rPr>
          <w:rFonts w:ascii="Times New Roman" w:hAnsi="Times New Roman"/>
          <w:sz w:val="24"/>
          <w:szCs w:val="24"/>
          <w:lang w:eastAsia="bg-BG"/>
        </w:rPr>
        <w:t xml:space="preserve"> може да се натрупва с всякаква друга държавна помощ, ако установимите разходи са различни съгласно чл. 8, ал. 3, б. а) от Регламент (ЕС) № 651/2014, както и всякаква друга държавна помощ във връзка със същите допустими разходи, които се припокриват частично или напълно, само ако това натрупване не води до надхвърляне на най-високия размер на помощта, приложим за тази помощ съгласно чл. 4, пар. 1, буква „</w:t>
      </w:r>
      <w:r w:rsidR="008E5245">
        <w:rPr>
          <w:rFonts w:ascii="Times New Roman" w:hAnsi="Times New Roman"/>
          <w:sz w:val="24"/>
          <w:szCs w:val="24"/>
          <w:lang w:eastAsia="bg-BG"/>
        </w:rPr>
        <w:t>тб</w:t>
      </w:r>
      <w:r w:rsidRPr="006B4448">
        <w:rPr>
          <w:rFonts w:ascii="Times New Roman" w:hAnsi="Times New Roman"/>
          <w:sz w:val="24"/>
          <w:szCs w:val="24"/>
          <w:lang w:eastAsia="bg-BG"/>
        </w:rPr>
        <w:t>“ от Регламент (ЕС) № 651/2014.</w:t>
      </w:r>
    </w:p>
    <w:p w14:paraId="59C1D247" w14:textId="77777777" w:rsidR="00FD4CC6" w:rsidRPr="006B4448" w:rsidRDefault="00FD4CC6" w:rsidP="00FD4CC6">
      <w:pPr>
        <w:autoSpaceDE w:val="0"/>
        <w:autoSpaceDN w:val="0"/>
        <w:adjustRightInd w:val="0"/>
        <w:spacing w:before="120" w:after="120" w:line="240" w:lineRule="auto"/>
        <w:ind w:firstLine="708"/>
        <w:jc w:val="both"/>
        <w:rPr>
          <w:rFonts w:ascii="Times New Roman" w:hAnsi="Times New Roman"/>
          <w:sz w:val="24"/>
          <w:szCs w:val="24"/>
          <w:lang w:eastAsia="bg-BG"/>
        </w:rPr>
      </w:pPr>
      <w:r w:rsidRPr="006B4448">
        <w:rPr>
          <w:rFonts w:ascii="Times New Roman" w:hAnsi="Times New Roman"/>
          <w:sz w:val="24"/>
          <w:szCs w:val="24"/>
          <w:lang w:eastAsia="bg-BG"/>
        </w:rPr>
        <w:t>Държавните помощи, освободени от задължението за уведомяване по силата на Регламент (ЕС) № 651/2014, не могат да се натрупват с помощ de minimis по отношение на същите допустими разходи, ако това натрупване би довело до интензитет на помощта, надхвърлящ праговете, установени в глава III от Регламент (ЕС) № 651/2014.</w:t>
      </w:r>
    </w:p>
    <w:p w14:paraId="7BACD7D0" w14:textId="77777777" w:rsidR="00FD4CC6" w:rsidRPr="006B4448" w:rsidRDefault="00FD4CC6" w:rsidP="00FD4CC6">
      <w:pPr>
        <w:autoSpaceDE w:val="0"/>
        <w:autoSpaceDN w:val="0"/>
        <w:adjustRightInd w:val="0"/>
        <w:spacing w:before="120" w:after="120" w:line="240" w:lineRule="auto"/>
        <w:ind w:firstLine="708"/>
        <w:jc w:val="both"/>
        <w:rPr>
          <w:rFonts w:ascii="Times New Roman" w:hAnsi="Times New Roman"/>
          <w:sz w:val="24"/>
          <w:szCs w:val="24"/>
          <w:lang w:eastAsia="bg-BG"/>
        </w:rPr>
      </w:pPr>
      <w:r w:rsidRPr="006B4448">
        <w:rPr>
          <w:rFonts w:ascii="Times New Roman" w:hAnsi="Times New Roman"/>
          <w:sz w:val="24"/>
          <w:szCs w:val="24"/>
          <w:lang w:eastAsia="bg-BG"/>
        </w:rPr>
        <w:t xml:space="preserve">За целите на контрола на натупването </w:t>
      </w:r>
      <w:r w:rsidR="00035D8D">
        <w:rPr>
          <w:rFonts w:ascii="Times New Roman" w:hAnsi="Times New Roman"/>
          <w:sz w:val="24"/>
          <w:szCs w:val="24"/>
          <w:lang w:eastAsia="bg-BG"/>
        </w:rPr>
        <w:t>бенефициентите</w:t>
      </w:r>
      <w:r w:rsidRPr="006B4448">
        <w:rPr>
          <w:rFonts w:ascii="Times New Roman" w:hAnsi="Times New Roman"/>
          <w:sz w:val="24"/>
          <w:szCs w:val="24"/>
          <w:lang w:eastAsia="bg-BG"/>
        </w:rPr>
        <w:t xml:space="preserve"> следва да представ</w:t>
      </w:r>
      <w:r w:rsidR="00035D8D">
        <w:rPr>
          <w:rFonts w:ascii="Times New Roman" w:hAnsi="Times New Roman"/>
          <w:sz w:val="24"/>
          <w:szCs w:val="24"/>
          <w:lang w:eastAsia="bg-BG"/>
        </w:rPr>
        <w:t>ят</w:t>
      </w:r>
      <w:r w:rsidRPr="006B4448">
        <w:rPr>
          <w:rFonts w:ascii="Times New Roman" w:hAnsi="Times New Roman"/>
          <w:sz w:val="24"/>
          <w:szCs w:val="24"/>
          <w:lang w:eastAsia="bg-BG"/>
        </w:rPr>
        <w:t xml:space="preserve"> доказателства</w:t>
      </w:r>
      <w:r>
        <w:rPr>
          <w:rFonts w:ascii="Times New Roman" w:hAnsi="Times New Roman"/>
          <w:sz w:val="24"/>
          <w:szCs w:val="24"/>
          <w:lang w:eastAsia="bg-BG"/>
        </w:rPr>
        <w:t xml:space="preserve"> в проекта</w:t>
      </w:r>
      <w:r w:rsidRPr="006B4448">
        <w:rPr>
          <w:rFonts w:ascii="Times New Roman" w:hAnsi="Times New Roman"/>
          <w:sz w:val="24"/>
          <w:szCs w:val="24"/>
          <w:lang w:eastAsia="bg-BG"/>
        </w:rPr>
        <w:t>, а УО да провери за всички получени от кандидата държавни и минимални помощи.</w:t>
      </w:r>
    </w:p>
    <w:p w14:paraId="30E04797" w14:textId="77777777" w:rsidR="00FD4CC6" w:rsidRPr="006B4448" w:rsidRDefault="00FD4CC6" w:rsidP="00FD4CC6">
      <w:pPr>
        <w:autoSpaceDE w:val="0"/>
        <w:autoSpaceDN w:val="0"/>
        <w:adjustRightInd w:val="0"/>
        <w:spacing w:before="120" w:after="120" w:line="240" w:lineRule="auto"/>
        <w:ind w:firstLine="708"/>
        <w:jc w:val="both"/>
        <w:rPr>
          <w:rFonts w:ascii="Times New Roman" w:hAnsi="Times New Roman"/>
          <w:sz w:val="24"/>
          <w:szCs w:val="24"/>
          <w:lang w:eastAsia="bg-BG"/>
        </w:rPr>
      </w:pPr>
      <w:r w:rsidRPr="006B4448">
        <w:rPr>
          <w:rFonts w:ascii="Times New Roman" w:hAnsi="Times New Roman"/>
          <w:sz w:val="24"/>
          <w:szCs w:val="24"/>
          <w:lang w:eastAsia="bg-BG"/>
        </w:rPr>
        <w:t>Данните за получени държавни/минимални помощи следва да бъдат надлежно посочени от кандидата в Декларацията за държавни/минимални помощи, попълнена по образец. Държавната/минимална помощ се счита за получена от момента на сключване на договора за нейното предоставяне. В случай че след подаване на проектното предложение настъпи промяна по отношение на получената държавна/минимална помощ, кандидатът следва да уведоми писмено УО в предварително определен срок.</w:t>
      </w:r>
    </w:p>
    <w:p w14:paraId="27273D9B" w14:textId="62412E21" w:rsidR="00FD4CC6" w:rsidRPr="00D6790F" w:rsidRDefault="00636401" w:rsidP="00FD4CC6">
      <w:pPr>
        <w:shd w:val="clear" w:color="auto" w:fill="FFFFFF"/>
        <w:ind w:firstLine="567"/>
        <w:jc w:val="both"/>
        <w:rPr>
          <w:rFonts w:ascii="Times New Roman" w:hAnsi="Times New Roman"/>
          <w:b/>
          <w:i/>
          <w:sz w:val="24"/>
          <w:szCs w:val="24"/>
          <w:lang w:eastAsia="bg-BG"/>
        </w:rPr>
      </w:pPr>
      <w:r>
        <w:rPr>
          <w:rFonts w:ascii="Times New Roman" w:hAnsi="Times New Roman"/>
          <w:b/>
          <w:i/>
          <w:sz w:val="24"/>
          <w:szCs w:val="24"/>
        </w:rPr>
        <w:lastRenderedPageBreak/>
        <w:t>Кандидатите</w:t>
      </w:r>
      <w:r w:rsidRPr="00190089">
        <w:rPr>
          <w:rFonts w:ascii="Times New Roman" w:hAnsi="Times New Roman"/>
          <w:b/>
          <w:i/>
          <w:sz w:val="24"/>
          <w:szCs w:val="24"/>
        </w:rPr>
        <w:t xml:space="preserve"> </w:t>
      </w:r>
      <w:r w:rsidR="00FD4CC6" w:rsidRPr="00190089">
        <w:rPr>
          <w:rFonts w:ascii="Times New Roman" w:hAnsi="Times New Roman"/>
          <w:b/>
          <w:i/>
          <w:sz w:val="24"/>
          <w:szCs w:val="24"/>
        </w:rPr>
        <w:t>представя</w:t>
      </w:r>
      <w:r w:rsidR="00035D8D">
        <w:rPr>
          <w:rFonts w:ascii="Times New Roman" w:hAnsi="Times New Roman"/>
          <w:b/>
          <w:i/>
          <w:sz w:val="24"/>
          <w:szCs w:val="24"/>
        </w:rPr>
        <w:t>т</w:t>
      </w:r>
      <w:r w:rsidR="00FD4CC6" w:rsidRPr="00190089">
        <w:rPr>
          <w:rFonts w:ascii="Times New Roman" w:hAnsi="Times New Roman"/>
          <w:b/>
          <w:i/>
          <w:sz w:val="24"/>
          <w:szCs w:val="24"/>
        </w:rPr>
        <w:t xml:space="preserve"> декларация, а УО извършва проверка относно натрупването на помощта, с цел да се установи дали са спазени праговете за уведомяване в член 4 и максималните интензитети на помощта, определени в</w:t>
      </w:r>
      <w:r w:rsidR="00FD4CC6">
        <w:rPr>
          <w:rFonts w:ascii="Times New Roman" w:hAnsi="Times New Roman"/>
          <w:b/>
          <w:i/>
          <w:sz w:val="24"/>
          <w:szCs w:val="24"/>
        </w:rPr>
        <w:t xml:space="preserve"> </w:t>
      </w:r>
      <w:r w:rsidR="00FD4CC6" w:rsidRPr="00D6790F">
        <w:rPr>
          <w:rFonts w:ascii="Times New Roman" w:hAnsi="Times New Roman"/>
          <w:b/>
          <w:i/>
          <w:sz w:val="24"/>
          <w:szCs w:val="24"/>
          <w:lang w:eastAsia="bg-BG"/>
        </w:rPr>
        <w:t xml:space="preserve">чл. </w:t>
      </w:r>
      <w:r w:rsidR="00223070">
        <w:rPr>
          <w:rFonts w:ascii="Times New Roman" w:hAnsi="Times New Roman"/>
          <w:b/>
          <w:i/>
          <w:sz w:val="24"/>
          <w:szCs w:val="24"/>
          <w:lang w:eastAsia="bg-BG"/>
        </w:rPr>
        <w:t>36а</w:t>
      </w:r>
      <w:r w:rsidR="00FD4CC6" w:rsidRPr="00D6790F">
        <w:rPr>
          <w:rFonts w:ascii="Times New Roman" w:hAnsi="Times New Roman"/>
          <w:b/>
          <w:i/>
          <w:sz w:val="24"/>
          <w:szCs w:val="24"/>
          <w:lang w:eastAsia="bg-BG"/>
        </w:rPr>
        <w:t xml:space="preserve"> от Регламент (ЕС) 651/2014.</w:t>
      </w:r>
    </w:p>
    <w:p w14:paraId="27731D4E" w14:textId="77777777" w:rsidR="00FD4CC6" w:rsidRPr="006B4448" w:rsidRDefault="00FD4CC6" w:rsidP="00FD4CC6">
      <w:pPr>
        <w:autoSpaceDE w:val="0"/>
        <w:autoSpaceDN w:val="0"/>
        <w:adjustRightInd w:val="0"/>
        <w:spacing w:before="120" w:after="120" w:line="240" w:lineRule="auto"/>
        <w:ind w:firstLine="708"/>
        <w:jc w:val="both"/>
        <w:rPr>
          <w:rFonts w:ascii="Times New Roman" w:hAnsi="Times New Roman"/>
          <w:sz w:val="24"/>
          <w:szCs w:val="24"/>
          <w:lang w:eastAsia="bg-BG"/>
        </w:rPr>
      </w:pPr>
      <w:r w:rsidRPr="006B4448">
        <w:rPr>
          <w:rFonts w:ascii="Times New Roman" w:hAnsi="Times New Roman"/>
          <w:sz w:val="24"/>
          <w:szCs w:val="24"/>
          <w:lang w:eastAsia="bg-BG"/>
        </w:rPr>
        <w:t>В изпълнение на членове 9-12 от Регламент № 651 и ЗДП и ППЗДП се представя, публикува, съхранява и докладва информация по мярката, както и се предоставя при поискване, както следва:</w:t>
      </w:r>
    </w:p>
    <w:p w14:paraId="06380372" w14:textId="77777777" w:rsidR="00FD4CC6" w:rsidRPr="006B4448" w:rsidRDefault="00FD4CC6" w:rsidP="00FD4CC6">
      <w:pPr>
        <w:numPr>
          <w:ilvl w:val="0"/>
          <w:numId w:val="5"/>
        </w:numPr>
        <w:autoSpaceDE w:val="0"/>
        <w:autoSpaceDN w:val="0"/>
        <w:adjustRightInd w:val="0"/>
        <w:spacing w:before="120" w:after="120" w:line="240" w:lineRule="auto"/>
        <w:ind w:left="851"/>
        <w:jc w:val="both"/>
        <w:rPr>
          <w:rFonts w:ascii="Times New Roman" w:hAnsi="Times New Roman"/>
          <w:b/>
          <w:i/>
          <w:sz w:val="24"/>
          <w:szCs w:val="24"/>
          <w:lang w:val="en-US" w:eastAsia="bg-BG"/>
        </w:rPr>
      </w:pPr>
      <w:r w:rsidRPr="006B4448">
        <w:rPr>
          <w:rFonts w:ascii="Times New Roman" w:hAnsi="Times New Roman"/>
          <w:sz w:val="24"/>
          <w:szCs w:val="24"/>
          <w:lang w:eastAsia="bg-BG"/>
        </w:rPr>
        <w:t>За целите на прозрачността в рамките на 6м. след предоставянето на помощта, същата следва да бъде въведена в Модула за прозра</w:t>
      </w:r>
      <w:r>
        <w:rPr>
          <w:rFonts w:ascii="Times New Roman" w:hAnsi="Times New Roman"/>
          <w:sz w:val="24"/>
          <w:szCs w:val="24"/>
          <w:lang w:eastAsia="bg-BG"/>
        </w:rPr>
        <w:t>чност на Европейската комисия</w:t>
      </w:r>
      <w:r w:rsidRPr="006B4448">
        <w:rPr>
          <w:rFonts w:ascii="Times New Roman" w:hAnsi="Times New Roman"/>
          <w:sz w:val="24"/>
          <w:szCs w:val="24"/>
          <w:lang w:eastAsia="bg-BG"/>
        </w:rPr>
        <w:t>;</w:t>
      </w:r>
    </w:p>
    <w:p w14:paraId="2DE8D22E" w14:textId="77777777" w:rsidR="00FD4CC6" w:rsidRPr="006B4448" w:rsidRDefault="00FD4CC6" w:rsidP="00FD4CC6">
      <w:pPr>
        <w:numPr>
          <w:ilvl w:val="0"/>
          <w:numId w:val="5"/>
        </w:numPr>
        <w:autoSpaceDE w:val="0"/>
        <w:autoSpaceDN w:val="0"/>
        <w:adjustRightInd w:val="0"/>
        <w:spacing w:before="120" w:after="120" w:line="240" w:lineRule="auto"/>
        <w:ind w:left="851"/>
        <w:jc w:val="both"/>
        <w:rPr>
          <w:rFonts w:ascii="Times New Roman" w:hAnsi="Times New Roman"/>
          <w:b/>
          <w:i/>
          <w:sz w:val="24"/>
          <w:szCs w:val="24"/>
          <w:lang w:val="en-US" w:eastAsia="bg-BG"/>
        </w:rPr>
      </w:pPr>
      <w:r w:rsidRPr="006B4448">
        <w:rPr>
          <w:rFonts w:ascii="Times New Roman" w:hAnsi="Times New Roman"/>
          <w:sz w:val="24"/>
          <w:szCs w:val="24"/>
          <w:lang w:eastAsia="bg-BG"/>
        </w:rPr>
        <w:t xml:space="preserve">За информиране на ЕК, чрез Системата за електронно уведомяване – </w:t>
      </w:r>
      <w:r w:rsidRPr="006B4448">
        <w:rPr>
          <w:rFonts w:ascii="Times New Roman" w:hAnsi="Times New Roman"/>
          <w:sz w:val="24"/>
          <w:szCs w:val="24"/>
          <w:lang w:val="en-US" w:eastAsia="bg-BG"/>
        </w:rPr>
        <w:t>SANI2</w:t>
      </w:r>
      <w:r>
        <w:rPr>
          <w:rFonts w:ascii="Times New Roman" w:hAnsi="Times New Roman"/>
          <w:sz w:val="24"/>
          <w:szCs w:val="24"/>
          <w:lang w:eastAsia="bg-BG"/>
        </w:rPr>
        <w:t xml:space="preserve"> </w:t>
      </w:r>
      <w:r w:rsidRPr="006B4448">
        <w:rPr>
          <w:rFonts w:ascii="Times New Roman" w:hAnsi="Times New Roman"/>
          <w:sz w:val="24"/>
          <w:szCs w:val="24"/>
          <w:lang w:eastAsia="bg-BG"/>
        </w:rPr>
        <w:t xml:space="preserve">се въвежда стандартизирана информация по приложение </w:t>
      </w:r>
      <w:r w:rsidRPr="006B4448">
        <w:rPr>
          <w:rFonts w:ascii="Times New Roman" w:hAnsi="Times New Roman"/>
          <w:sz w:val="24"/>
          <w:szCs w:val="24"/>
          <w:lang w:val="en-US" w:eastAsia="bg-BG"/>
        </w:rPr>
        <w:t>II</w:t>
      </w:r>
      <w:r w:rsidRPr="006B4448">
        <w:rPr>
          <w:rFonts w:ascii="Times New Roman" w:hAnsi="Times New Roman"/>
          <w:sz w:val="24"/>
          <w:szCs w:val="24"/>
          <w:lang w:eastAsia="bg-BG"/>
        </w:rPr>
        <w:t xml:space="preserve"> от Регламента;</w:t>
      </w:r>
    </w:p>
    <w:p w14:paraId="57D3F72A" w14:textId="77777777" w:rsidR="00FD4CC6" w:rsidRPr="006B4448" w:rsidRDefault="00FD4CC6" w:rsidP="00FD4CC6">
      <w:pPr>
        <w:numPr>
          <w:ilvl w:val="0"/>
          <w:numId w:val="5"/>
        </w:numPr>
        <w:autoSpaceDE w:val="0"/>
        <w:autoSpaceDN w:val="0"/>
        <w:adjustRightInd w:val="0"/>
        <w:spacing w:before="120" w:after="120" w:line="240" w:lineRule="auto"/>
        <w:ind w:left="851"/>
        <w:jc w:val="both"/>
        <w:rPr>
          <w:rFonts w:ascii="Times New Roman" w:hAnsi="Times New Roman"/>
          <w:b/>
          <w:i/>
          <w:sz w:val="24"/>
          <w:szCs w:val="24"/>
          <w:lang w:val="en-US" w:eastAsia="bg-BG"/>
        </w:rPr>
      </w:pPr>
      <w:r w:rsidRPr="006B4448">
        <w:rPr>
          <w:rFonts w:ascii="Times New Roman" w:hAnsi="Times New Roman"/>
          <w:sz w:val="24"/>
          <w:szCs w:val="24"/>
          <w:lang w:eastAsia="bg-BG"/>
        </w:rPr>
        <w:t>За целите на докладването, се представя Годишен доклад пред министъра на финансите;</w:t>
      </w:r>
    </w:p>
    <w:p w14:paraId="79BDF8E5" w14:textId="77777777" w:rsidR="00FD4CC6" w:rsidRPr="006B4448" w:rsidRDefault="00FD4CC6" w:rsidP="00FD4CC6">
      <w:pPr>
        <w:numPr>
          <w:ilvl w:val="0"/>
          <w:numId w:val="5"/>
        </w:numPr>
        <w:autoSpaceDE w:val="0"/>
        <w:autoSpaceDN w:val="0"/>
        <w:adjustRightInd w:val="0"/>
        <w:spacing w:before="120" w:after="120" w:line="240" w:lineRule="auto"/>
        <w:ind w:left="851"/>
        <w:jc w:val="both"/>
        <w:rPr>
          <w:rFonts w:ascii="Times New Roman" w:hAnsi="Times New Roman"/>
          <w:b/>
          <w:i/>
          <w:sz w:val="24"/>
          <w:szCs w:val="24"/>
          <w:lang w:val="en-US" w:eastAsia="bg-BG"/>
        </w:rPr>
      </w:pPr>
      <w:r w:rsidRPr="006B4448">
        <w:rPr>
          <w:rFonts w:ascii="Times New Roman" w:hAnsi="Times New Roman"/>
          <w:sz w:val="24"/>
          <w:szCs w:val="24"/>
          <w:lang w:eastAsia="bg-BG"/>
        </w:rPr>
        <w:t>За целите на наблюдението и при актуализация условията на Регламент (ЕС) № 651/2014, мярката се превежда в съответствие съгласно поставените от Комисията или министъра на финансите срокове;</w:t>
      </w:r>
    </w:p>
    <w:p w14:paraId="080265F3" w14:textId="77777777" w:rsidR="00FD4CC6" w:rsidRPr="006B4448" w:rsidRDefault="00FD4CC6" w:rsidP="00FD4CC6">
      <w:pPr>
        <w:numPr>
          <w:ilvl w:val="0"/>
          <w:numId w:val="5"/>
        </w:numPr>
        <w:autoSpaceDE w:val="0"/>
        <w:autoSpaceDN w:val="0"/>
        <w:adjustRightInd w:val="0"/>
        <w:spacing w:before="120" w:after="120" w:line="240" w:lineRule="auto"/>
        <w:ind w:left="851"/>
        <w:jc w:val="both"/>
        <w:rPr>
          <w:rFonts w:ascii="Times New Roman" w:hAnsi="Times New Roman"/>
          <w:b/>
          <w:i/>
          <w:sz w:val="24"/>
          <w:szCs w:val="24"/>
          <w:lang w:val="en-US" w:eastAsia="bg-BG"/>
        </w:rPr>
      </w:pPr>
      <w:r w:rsidRPr="006B4448">
        <w:rPr>
          <w:rFonts w:ascii="Times New Roman" w:hAnsi="Times New Roman"/>
          <w:sz w:val="24"/>
          <w:szCs w:val="24"/>
          <w:lang w:eastAsia="bg-BG"/>
        </w:rPr>
        <w:t>За целите на последващия контрол от страна на ЕК и националните контролни органи се пази подробна документация за период от 10 години относно предоставянето на помощта и спазването на условията на регламента.</w:t>
      </w:r>
    </w:p>
    <w:p w14:paraId="5F0DDF63" w14:textId="77777777" w:rsidR="00FD4CC6" w:rsidRPr="006B4448" w:rsidRDefault="00FD4CC6" w:rsidP="00FD4CC6">
      <w:pPr>
        <w:autoSpaceDE w:val="0"/>
        <w:autoSpaceDN w:val="0"/>
        <w:adjustRightInd w:val="0"/>
        <w:spacing w:before="120" w:after="120" w:line="240" w:lineRule="auto"/>
        <w:ind w:firstLine="708"/>
        <w:jc w:val="both"/>
        <w:rPr>
          <w:rFonts w:ascii="Times New Roman" w:hAnsi="Times New Roman"/>
          <w:sz w:val="24"/>
          <w:szCs w:val="24"/>
          <w:lang w:eastAsia="bg-BG"/>
        </w:rPr>
      </w:pPr>
      <w:r w:rsidRPr="006B4448">
        <w:rPr>
          <w:rFonts w:ascii="Times New Roman" w:hAnsi="Times New Roman"/>
          <w:sz w:val="24"/>
          <w:szCs w:val="24"/>
          <w:lang w:eastAsia="bg-BG"/>
        </w:rPr>
        <w:t xml:space="preserve">Съгласно чл. </w:t>
      </w:r>
      <w:r w:rsidR="00035D8D">
        <w:rPr>
          <w:rFonts w:ascii="Times New Roman" w:hAnsi="Times New Roman"/>
          <w:sz w:val="24"/>
          <w:szCs w:val="24"/>
          <w:lang w:eastAsia="bg-BG"/>
        </w:rPr>
        <w:t>36а</w:t>
      </w:r>
      <w:r>
        <w:rPr>
          <w:rFonts w:ascii="Times New Roman" w:hAnsi="Times New Roman"/>
          <w:sz w:val="24"/>
          <w:szCs w:val="24"/>
          <w:lang w:eastAsia="bg-BG"/>
        </w:rPr>
        <w:t xml:space="preserve"> от ОРГО</w:t>
      </w:r>
      <w:r w:rsidRPr="006B4448">
        <w:rPr>
          <w:rFonts w:ascii="Times New Roman" w:hAnsi="Times New Roman"/>
          <w:sz w:val="24"/>
          <w:szCs w:val="24"/>
          <w:lang w:eastAsia="bg-BG"/>
        </w:rPr>
        <w:t xml:space="preserve">, помощите за </w:t>
      </w:r>
      <w:r w:rsidR="00035D8D">
        <w:rPr>
          <w:rFonts w:ascii="Times New Roman" w:hAnsi="Times New Roman"/>
          <w:sz w:val="24"/>
          <w:szCs w:val="24"/>
          <w:lang w:eastAsia="bg-BG"/>
        </w:rPr>
        <w:t>инфраструктури за зареждане с електроенергия или гориво</w:t>
      </w:r>
      <w:r w:rsidRPr="006B4448">
        <w:rPr>
          <w:rFonts w:ascii="Times New Roman" w:hAnsi="Times New Roman"/>
          <w:sz w:val="24"/>
          <w:szCs w:val="24"/>
          <w:lang w:eastAsia="bg-BG"/>
        </w:rPr>
        <w:t xml:space="preserve"> са съвместими с вътрешния пазар по смисъла на член 107, параграф 3 от Договора и се освобождават от задължението за уведомяване по член 108, параграф 3 от Договора, ако са изпълнени условията, определени в посочения член и в глава I и допустимите разходи са следните:</w:t>
      </w:r>
    </w:p>
    <w:p w14:paraId="323FB713" w14:textId="77777777" w:rsidR="00FD4CC6" w:rsidRPr="006B4448" w:rsidRDefault="00FD4CC6" w:rsidP="00FD4CC6">
      <w:pPr>
        <w:autoSpaceDE w:val="0"/>
        <w:autoSpaceDN w:val="0"/>
        <w:adjustRightInd w:val="0"/>
        <w:spacing w:before="120" w:after="120" w:line="240" w:lineRule="auto"/>
        <w:ind w:left="720"/>
        <w:jc w:val="both"/>
        <w:rPr>
          <w:rFonts w:ascii="Times New Roman" w:hAnsi="Times New Roman"/>
          <w:sz w:val="24"/>
          <w:szCs w:val="24"/>
          <w:lang w:eastAsia="bg-BG"/>
        </w:rPr>
      </w:pPr>
      <w:r w:rsidRPr="006B4448">
        <w:rPr>
          <w:rFonts w:ascii="Times New Roman" w:hAnsi="Times New Roman"/>
          <w:sz w:val="24"/>
          <w:szCs w:val="24"/>
          <w:lang w:eastAsia="bg-BG"/>
        </w:rPr>
        <w:t xml:space="preserve">а) инвестиции за изграждане, </w:t>
      </w:r>
      <w:r w:rsidR="00035D8D">
        <w:rPr>
          <w:rFonts w:ascii="Times New Roman" w:hAnsi="Times New Roman"/>
          <w:sz w:val="24"/>
          <w:szCs w:val="24"/>
          <w:lang w:eastAsia="bg-BG"/>
        </w:rPr>
        <w:t xml:space="preserve">инсталиране, </w:t>
      </w:r>
      <w:r w:rsidRPr="006B4448">
        <w:rPr>
          <w:rFonts w:ascii="Times New Roman" w:hAnsi="Times New Roman"/>
          <w:sz w:val="24"/>
          <w:szCs w:val="24"/>
          <w:lang w:eastAsia="bg-BG"/>
        </w:rPr>
        <w:t>модерниз</w:t>
      </w:r>
      <w:r w:rsidR="00035D8D">
        <w:rPr>
          <w:rFonts w:ascii="Times New Roman" w:hAnsi="Times New Roman"/>
          <w:sz w:val="24"/>
          <w:szCs w:val="24"/>
          <w:lang w:eastAsia="bg-BG"/>
        </w:rPr>
        <w:t>ация или разширяване на инфраструктура за зареждане с електроенергия или гориво</w:t>
      </w:r>
      <w:r w:rsidRPr="006B4448">
        <w:rPr>
          <w:rFonts w:ascii="Times New Roman" w:hAnsi="Times New Roman"/>
          <w:sz w:val="24"/>
          <w:szCs w:val="24"/>
          <w:lang w:eastAsia="bg-BG"/>
        </w:rPr>
        <w:t>;</w:t>
      </w:r>
    </w:p>
    <w:p w14:paraId="515F3323" w14:textId="77777777" w:rsidR="00FD4CC6" w:rsidRPr="006B4448" w:rsidRDefault="00FD4CC6" w:rsidP="00FD4CC6">
      <w:pPr>
        <w:autoSpaceDE w:val="0"/>
        <w:autoSpaceDN w:val="0"/>
        <w:adjustRightInd w:val="0"/>
        <w:spacing w:before="120" w:after="120" w:line="240" w:lineRule="auto"/>
        <w:ind w:left="720"/>
        <w:jc w:val="both"/>
        <w:rPr>
          <w:rFonts w:ascii="Times New Roman" w:hAnsi="Times New Roman"/>
          <w:sz w:val="24"/>
          <w:szCs w:val="24"/>
          <w:lang w:eastAsia="bg-BG"/>
        </w:rPr>
      </w:pPr>
      <w:r w:rsidRPr="006B4448">
        <w:rPr>
          <w:rFonts w:ascii="Times New Roman" w:hAnsi="Times New Roman"/>
          <w:sz w:val="24"/>
          <w:szCs w:val="24"/>
          <w:lang w:eastAsia="bg-BG"/>
        </w:rPr>
        <w:t xml:space="preserve">б) </w:t>
      </w:r>
      <w:r w:rsidR="00035D8D">
        <w:rPr>
          <w:rFonts w:ascii="Times New Roman" w:hAnsi="Times New Roman"/>
          <w:sz w:val="24"/>
          <w:szCs w:val="24"/>
          <w:lang w:eastAsia="bg-BG"/>
        </w:rPr>
        <w:t xml:space="preserve">разходи за самата инфраструктура и свързаното с нея </w:t>
      </w:r>
      <w:r w:rsidR="005C116E">
        <w:rPr>
          <w:rFonts w:ascii="Times New Roman" w:hAnsi="Times New Roman"/>
          <w:sz w:val="24"/>
          <w:szCs w:val="24"/>
          <w:lang w:eastAsia="bg-BG"/>
        </w:rPr>
        <w:t>техническо оборудване, тези за инсталиране или модернизиране на електрически или други компоненти, вкл. ел. кабели и силови трансформатори</w:t>
      </w:r>
      <w:r w:rsidRPr="006B4448">
        <w:rPr>
          <w:rFonts w:ascii="Times New Roman" w:hAnsi="Times New Roman"/>
          <w:sz w:val="24"/>
          <w:szCs w:val="24"/>
          <w:lang w:eastAsia="bg-BG"/>
        </w:rPr>
        <w:t>;</w:t>
      </w:r>
    </w:p>
    <w:p w14:paraId="4C399A62" w14:textId="77777777" w:rsidR="00FD4CC6" w:rsidRDefault="00FD4CC6" w:rsidP="00FD4CC6">
      <w:pPr>
        <w:autoSpaceDE w:val="0"/>
        <w:autoSpaceDN w:val="0"/>
        <w:adjustRightInd w:val="0"/>
        <w:spacing w:before="120" w:after="120" w:line="240" w:lineRule="auto"/>
        <w:ind w:left="720"/>
        <w:jc w:val="both"/>
        <w:rPr>
          <w:rFonts w:ascii="Times New Roman" w:hAnsi="Times New Roman"/>
          <w:sz w:val="24"/>
          <w:szCs w:val="24"/>
          <w:lang w:eastAsia="bg-BG"/>
        </w:rPr>
      </w:pPr>
      <w:r w:rsidRPr="006B4448">
        <w:rPr>
          <w:rFonts w:ascii="Times New Roman" w:hAnsi="Times New Roman"/>
          <w:sz w:val="24"/>
          <w:szCs w:val="24"/>
          <w:lang w:eastAsia="bg-BG"/>
        </w:rPr>
        <w:t xml:space="preserve">в) </w:t>
      </w:r>
      <w:r w:rsidR="005C116E">
        <w:rPr>
          <w:rFonts w:ascii="Times New Roman" w:hAnsi="Times New Roman"/>
          <w:sz w:val="24"/>
          <w:szCs w:val="24"/>
          <w:lang w:eastAsia="bg-BG"/>
        </w:rPr>
        <w:t>разходи за строителни работи, адаптация на земя и път, инсталационните разходи и разходите за получаване на необходимите разрешителни.</w:t>
      </w:r>
    </w:p>
    <w:p w14:paraId="58E4852E" w14:textId="77777777" w:rsidR="005C116E" w:rsidRPr="006B4448" w:rsidRDefault="005C116E" w:rsidP="00FD4CC6">
      <w:pPr>
        <w:autoSpaceDE w:val="0"/>
        <w:autoSpaceDN w:val="0"/>
        <w:adjustRightInd w:val="0"/>
        <w:spacing w:before="120" w:after="120" w:line="240" w:lineRule="auto"/>
        <w:ind w:left="720"/>
        <w:jc w:val="both"/>
        <w:rPr>
          <w:rFonts w:ascii="Times New Roman" w:hAnsi="Times New Roman"/>
          <w:sz w:val="24"/>
          <w:szCs w:val="24"/>
          <w:lang w:eastAsia="bg-BG"/>
        </w:rPr>
      </w:pPr>
      <w:r>
        <w:rPr>
          <w:rFonts w:ascii="Times New Roman" w:hAnsi="Times New Roman"/>
          <w:sz w:val="24"/>
          <w:szCs w:val="24"/>
          <w:lang w:eastAsia="bg-BG"/>
        </w:rPr>
        <w:t xml:space="preserve">г) инвестиционни разходи за производство на място на </w:t>
      </w:r>
      <w:r w:rsidR="00D27D92">
        <w:rPr>
          <w:rFonts w:ascii="Times New Roman" w:hAnsi="Times New Roman"/>
          <w:sz w:val="24"/>
          <w:szCs w:val="24"/>
          <w:lang w:eastAsia="bg-BG"/>
        </w:rPr>
        <w:t>електроенергия от възобновяеми източници и инвестиционните разходи на единиците за съхранение на тази енергия.</w:t>
      </w:r>
    </w:p>
    <w:p w14:paraId="51D61EE9" w14:textId="77777777" w:rsidR="00FD4CC6" w:rsidRPr="006B4448" w:rsidRDefault="00FD4CC6" w:rsidP="00FD4CC6">
      <w:pPr>
        <w:autoSpaceDE w:val="0"/>
        <w:autoSpaceDN w:val="0"/>
        <w:adjustRightInd w:val="0"/>
        <w:spacing w:before="120" w:after="120" w:line="240" w:lineRule="auto"/>
        <w:ind w:firstLine="567"/>
        <w:jc w:val="both"/>
        <w:rPr>
          <w:rFonts w:ascii="Times New Roman" w:hAnsi="Times New Roman"/>
          <w:sz w:val="24"/>
          <w:szCs w:val="24"/>
          <w:lang w:eastAsia="bg-BG"/>
        </w:rPr>
      </w:pPr>
      <w:r w:rsidRPr="006B4448">
        <w:rPr>
          <w:rFonts w:ascii="Times New Roman" w:hAnsi="Times New Roman"/>
          <w:sz w:val="24"/>
          <w:szCs w:val="24"/>
          <w:lang w:eastAsia="bg-BG"/>
        </w:rPr>
        <w:t xml:space="preserve">Проектът се отнася към инвестиции за изграждане, </w:t>
      </w:r>
      <w:r w:rsidR="00D27D92">
        <w:rPr>
          <w:rFonts w:ascii="Times New Roman" w:hAnsi="Times New Roman"/>
          <w:sz w:val="24"/>
          <w:szCs w:val="24"/>
          <w:lang w:eastAsia="bg-BG"/>
        </w:rPr>
        <w:t xml:space="preserve">разширяване и/или </w:t>
      </w:r>
      <w:r w:rsidRPr="006B4448">
        <w:rPr>
          <w:rFonts w:ascii="Times New Roman" w:hAnsi="Times New Roman"/>
          <w:sz w:val="24"/>
          <w:szCs w:val="24"/>
          <w:lang w:eastAsia="bg-BG"/>
        </w:rPr>
        <w:t>модерниз</w:t>
      </w:r>
      <w:r w:rsidR="00D27D92">
        <w:rPr>
          <w:rFonts w:ascii="Times New Roman" w:hAnsi="Times New Roman"/>
          <w:sz w:val="24"/>
          <w:szCs w:val="24"/>
          <w:lang w:eastAsia="bg-BG"/>
        </w:rPr>
        <w:t>ация н</w:t>
      </w:r>
      <w:r w:rsidRPr="006B4448">
        <w:rPr>
          <w:rFonts w:ascii="Times New Roman" w:hAnsi="Times New Roman"/>
          <w:sz w:val="24"/>
          <w:szCs w:val="24"/>
          <w:lang w:eastAsia="bg-BG"/>
        </w:rPr>
        <w:t xml:space="preserve">а </w:t>
      </w:r>
      <w:r w:rsidR="00D27D92">
        <w:rPr>
          <w:rFonts w:ascii="Times New Roman" w:hAnsi="Times New Roman"/>
          <w:sz w:val="24"/>
          <w:szCs w:val="24"/>
          <w:lang w:eastAsia="bg-BG"/>
        </w:rPr>
        <w:t>зарядна</w:t>
      </w:r>
      <w:r w:rsidRPr="006B4448">
        <w:rPr>
          <w:rFonts w:ascii="Times New Roman" w:hAnsi="Times New Roman"/>
          <w:sz w:val="24"/>
          <w:szCs w:val="24"/>
          <w:lang w:eastAsia="bg-BG"/>
        </w:rPr>
        <w:t xml:space="preserve"> инфраструктури</w:t>
      </w:r>
      <w:r w:rsidR="00D27D92">
        <w:rPr>
          <w:rFonts w:ascii="Times New Roman" w:hAnsi="Times New Roman"/>
          <w:sz w:val="24"/>
          <w:szCs w:val="24"/>
          <w:lang w:eastAsia="bg-BG"/>
        </w:rPr>
        <w:t xml:space="preserve"> с електроенергия</w:t>
      </w:r>
      <w:r w:rsidRPr="006B4448">
        <w:rPr>
          <w:rFonts w:ascii="Times New Roman" w:hAnsi="Times New Roman"/>
          <w:sz w:val="24"/>
          <w:szCs w:val="24"/>
          <w:lang w:eastAsia="bg-BG"/>
        </w:rPr>
        <w:t xml:space="preserve"> и попада в приложното поле на посочения член.</w:t>
      </w:r>
    </w:p>
    <w:p w14:paraId="1E6CAB63" w14:textId="77777777" w:rsidR="00FD4CC6" w:rsidRDefault="00FD4CC6" w:rsidP="00FD4CC6">
      <w:pPr>
        <w:autoSpaceDE w:val="0"/>
        <w:autoSpaceDN w:val="0"/>
        <w:adjustRightInd w:val="0"/>
        <w:spacing w:before="120" w:after="120" w:line="240" w:lineRule="auto"/>
        <w:ind w:firstLine="567"/>
        <w:jc w:val="both"/>
        <w:rPr>
          <w:rFonts w:ascii="Times New Roman" w:hAnsi="Times New Roman"/>
          <w:b/>
          <w:i/>
          <w:sz w:val="24"/>
          <w:szCs w:val="24"/>
          <w:lang w:eastAsia="bg-BG"/>
        </w:rPr>
      </w:pPr>
      <w:r w:rsidRPr="006B4448">
        <w:rPr>
          <w:rFonts w:ascii="Times New Roman" w:hAnsi="Times New Roman"/>
          <w:b/>
          <w:i/>
          <w:sz w:val="24"/>
          <w:szCs w:val="24"/>
          <w:lang w:eastAsia="bg-BG"/>
        </w:rPr>
        <w:t>Не се финансират разходи, които не са допустими съгласно разпоредбите на регламента.</w:t>
      </w:r>
    </w:p>
    <w:p w14:paraId="49F7A72B" w14:textId="77777777" w:rsidR="00FD4CC6" w:rsidRPr="006B4448" w:rsidRDefault="00FD4CC6" w:rsidP="00FD4CC6">
      <w:pPr>
        <w:autoSpaceDE w:val="0"/>
        <w:autoSpaceDN w:val="0"/>
        <w:adjustRightInd w:val="0"/>
        <w:spacing w:before="120" w:after="120" w:line="240" w:lineRule="auto"/>
        <w:ind w:firstLine="567"/>
        <w:jc w:val="both"/>
        <w:rPr>
          <w:rFonts w:ascii="Times New Roman" w:hAnsi="Times New Roman"/>
          <w:b/>
          <w:i/>
          <w:sz w:val="24"/>
          <w:szCs w:val="24"/>
          <w:lang w:eastAsia="bg-BG"/>
        </w:rPr>
      </w:pPr>
      <w:r w:rsidRPr="006B4448">
        <w:rPr>
          <w:rFonts w:ascii="Times New Roman" w:hAnsi="Times New Roman"/>
          <w:b/>
          <w:i/>
          <w:sz w:val="24"/>
          <w:szCs w:val="24"/>
          <w:lang w:eastAsia="bg-BG"/>
        </w:rPr>
        <w:t>УО извършва проверка за правилното определяне на разходите</w:t>
      </w:r>
      <w:r w:rsidRPr="006B4448">
        <w:rPr>
          <w:rFonts w:ascii="Times New Roman" w:hAnsi="Times New Roman"/>
          <w:lang w:eastAsia="bg-BG"/>
        </w:rPr>
        <w:t xml:space="preserve"> </w:t>
      </w:r>
      <w:r w:rsidRPr="006B4448">
        <w:rPr>
          <w:rFonts w:ascii="Times New Roman" w:hAnsi="Times New Roman"/>
          <w:b/>
          <w:i/>
          <w:sz w:val="24"/>
          <w:szCs w:val="24"/>
          <w:lang w:eastAsia="bg-BG"/>
        </w:rPr>
        <w:t>по проекта като допустими или недопустими за целите на Регламент (ЕС) № 651/2014.</w:t>
      </w:r>
    </w:p>
    <w:p w14:paraId="3CD4EAEC" w14:textId="77777777" w:rsidR="00D27D92" w:rsidRDefault="00D27D92" w:rsidP="00FD4CC6">
      <w:pPr>
        <w:autoSpaceDE w:val="0"/>
        <w:autoSpaceDN w:val="0"/>
        <w:adjustRightInd w:val="0"/>
        <w:spacing w:before="120" w:after="120" w:line="240" w:lineRule="auto"/>
        <w:ind w:firstLine="708"/>
        <w:jc w:val="both"/>
        <w:rPr>
          <w:rFonts w:ascii="Times New Roman" w:hAnsi="Times New Roman"/>
          <w:sz w:val="24"/>
          <w:szCs w:val="24"/>
          <w:lang w:eastAsia="bg-BG"/>
        </w:rPr>
      </w:pPr>
      <w:r>
        <w:rPr>
          <w:rFonts w:ascii="Times New Roman" w:hAnsi="Times New Roman"/>
          <w:sz w:val="24"/>
          <w:szCs w:val="24"/>
          <w:lang w:eastAsia="bg-BG"/>
        </w:rPr>
        <w:lastRenderedPageBreak/>
        <w:t xml:space="preserve">Съгласно пар. 7 от чл. 36а </w:t>
      </w:r>
      <w:r w:rsidR="00AE6BB3">
        <w:rPr>
          <w:rFonts w:ascii="Times New Roman" w:hAnsi="Times New Roman"/>
          <w:sz w:val="24"/>
          <w:szCs w:val="24"/>
          <w:lang w:eastAsia="bg-BG"/>
        </w:rPr>
        <w:t xml:space="preserve">- помощта предоставена на което и да било предприятие, не трябва да надхвърля 40 % от общия бюджет на схемата. </w:t>
      </w:r>
    </w:p>
    <w:p w14:paraId="090CBB62" w14:textId="3B438C12" w:rsidR="00597277" w:rsidRDefault="00597277" w:rsidP="00AE6BB3">
      <w:pPr>
        <w:autoSpaceDE w:val="0"/>
        <w:autoSpaceDN w:val="0"/>
        <w:adjustRightInd w:val="0"/>
        <w:spacing w:after="0" w:line="240" w:lineRule="auto"/>
        <w:ind w:firstLine="708"/>
        <w:jc w:val="both"/>
        <w:rPr>
          <w:rFonts w:ascii="EUAlbertina" w:eastAsiaTheme="minorHAnsi" w:hAnsi="EUAlbertina" w:cs="EUAlbertina"/>
          <w:color w:val="000000"/>
          <w:sz w:val="24"/>
          <w:szCs w:val="24"/>
        </w:rPr>
      </w:pPr>
      <w:r>
        <w:rPr>
          <w:rFonts w:ascii="EUAlbertina" w:eastAsiaTheme="minorHAnsi" w:hAnsi="EUAlbertina" w:cs="EUAlbertina"/>
          <w:color w:val="000000"/>
          <w:sz w:val="24"/>
          <w:szCs w:val="24"/>
        </w:rPr>
        <w:t xml:space="preserve">Съгласно </w:t>
      </w:r>
      <w:r w:rsidR="00AE6BB3">
        <w:rPr>
          <w:rFonts w:ascii="EUAlbertina" w:eastAsiaTheme="minorHAnsi" w:hAnsi="EUAlbertina" w:cs="EUAlbertina"/>
          <w:color w:val="000000"/>
          <w:sz w:val="24"/>
          <w:szCs w:val="24"/>
        </w:rPr>
        <w:t>чл. 4. пар. 1, т. „т</w:t>
      </w:r>
      <w:r w:rsidR="00636401">
        <w:rPr>
          <w:rFonts w:ascii="EUAlbertina" w:eastAsiaTheme="minorHAnsi" w:hAnsi="EUAlbertina" w:cs="EUAlbertina"/>
          <w:color w:val="000000"/>
          <w:sz w:val="24"/>
          <w:szCs w:val="24"/>
        </w:rPr>
        <w:t>.</w:t>
      </w:r>
      <w:r w:rsidR="00AE6BB3">
        <w:rPr>
          <w:rFonts w:ascii="EUAlbertina" w:eastAsiaTheme="minorHAnsi" w:hAnsi="EUAlbertina" w:cs="EUAlbertina"/>
          <w:color w:val="000000"/>
          <w:sz w:val="24"/>
          <w:szCs w:val="24"/>
        </w:rPr>
        <w:t xml:space="preserve">б“ на Регламент 651/2014 </w:t>
      </w:r>
      <w:r w:rsidR="007F05D6">
        <w:rPr>
          <w:rFonts w:ascii="EUAlbertina" w:eastAsiaTheme="minorHAnsi" w:hAnsi="EUAlbertina" w:cs="EUAlbertina"/>
          <w:color w:val="000000"/>
          <w:sz w:val="24"/>
          <w:szCs w:val="24"/>
        </w:rPr>
        <w:t xml:space="preserve">към </w:t>
      </w:r>
      <w:r w:rsidR="00AE6BB3">
        <w:rPr>
          <w:rFonts w:ascii="EUAlbertina" w:eastAsiaTheme="minorHAnsi" w:hAnsi="EUAlbertina" w:cs="EUAlbertina"/>
          <w:color w:val="000000"/>
          <w:sz w:val="24"/>
          <w:szCs w:val="24"/>
        </w:rPr>
        <w:t>помощта се прилага</w:t>
      </w:r>
      <w:r w:rsidR="007F05D6">
        <w:rPr>
          <w:rFonts w:ascii="EUAlbertina" w:eastAsiaTheme="minorHAnsi" w:hAnsi="EUAlbertina" w:cs="EUAlbertina"/>
          <w:color w:val="000000"/>
          <w:sz w:val="24"/>
          <w:szCs w:val="24"/>
        </w:rPr>
        <w:t>т</w:t>
      </w:r>
      <w:r w:rsidRPr="00597277">
        <w:rPr>
          <w:rFonts w:ascii="EUAlbertina" w:eastAsiaTheme="minorHAnsi" w:hAnsi="EUAlbertina" w:cs="EUAlbertina"/>
          <w:color w:val="000000"/>
          <w:sz w:val="24"/>
          <w:szCs w:val="24"/>
        </w:rPr>
        <w:t xml:space="preserve"> следните прагове</w:t>
      </w:r>
      <w:r w:rsidR="007F05D6">
        <w:rPr>
          <w:rFonts w:ascii="EUAlbertina" w:eastAsiaTheme="minorHAnsi" w:hAnsi="EUAlbertina" w:cs="EUAlbertina"/>
          <w:color w:val="000000"/>
          <w:sz w:val="24"/>
          <w:szCs w:val="24"/>
        </w:rPr>
        <w:t>:</w:t>
      </w:r>
    </w:p>
    <w:p w14:paraId="20DBB2C4" w14:textId="3C79BECE" w:rsidR="007F05D6" w:rsidRPr="00CA3F72" w:rsidRDefault="00AE6BB3" w:rsidP="00CA3F72">
      <w:pPr>
        <w:pStyle w:val="ListParagraph"/>
        <w:numPr>
          <w:ilvl w:val="0"/>
          <w:numId w:val="15"/>
        </w:numPr>
        <w:autoSpaceDE w:val="0"/>
        <w:autoSpaceDN w:val="0"/>
        <w:adjustRightInd w:val="0"/>
        <w:spacing w:after="0" w:line="240" w:lineRule="auto"/>
        <w:jc w:val="both"/>
        <w:rPr>
          <w:rFonts w:ascii="EUAlbertina" w:eastAsiaTheme="minorHAnsi" w:hAnsi="EUAlbertina" w:cs="EUAlbertina"/>
          <w:color w:val="000000"/>
          <w:sz w:val="19"/>
          <w:szCs w:val="19"/>
        </w:rPr>
      </w:pPr>
      <w:r w:rsidRPr="00CA3F72">
        <w:rPr>
          <w:rFonts w:ascii="Times New Roman" w:eastAsiaTheme="minorHAnsi" w:hAnsi="Times New Roman"/>
          <w:color w:val="000000"/>
          <w:sz w:val="24"/>
          <w:szCs w:val="24"/>
        </w:rPr>
        <w:t>за инвестиционни помощи за инфраструктура за зареждане с електроенергия или гориво, посочени в член 36а, параграфи 1 и 2</w:t>
      </w:r>
      <w:r w:rsidR="007F05D6">
        <w:rPr>
          <w:rFonts w:ascii="Times New Roman" w:eastAsiaTheme="minorHAnsi" w:hAnsi="Times New Roman"/>
          <w:color w:val="000000"/>
          <w:sz w:val="24"/>
          <w:szCs w:val="24"/>
        </w:rPr>
        <w:t xml:space="preserve"> -</w:t>
      </w:r>
      <w:r w:rsidRPr="00CA3F72">
        <w:rPr>
          <w:rFonts w:ascii="Times New Roman" w:eastAsiaTheme="minorHAnsi" w:hAnsi="Times New Roman"/>
          <w:color w:val="000000"/>
          <w:sz w:val="24"/>
          <w:szCs w:val="24"/>
        </w:rPr>
        <w:t xml:space="preserve">30 милиона евро на предприятие за проект </w:t>
      </w:r>
    </w:p>
    <w:p w14:paraId="4F453274" w14:textId="19D59AD2" w:rsidR="00AE6BB3" w:rsidRPr="00CA3F72" w:rsidRDefault="00AE6BB3" w:rsidP="00CA3F72">
      <w:pPr>
        <w:pStyle w:val="ListParagraph"/>
        <w:numPr>
          <w:ilvl w:val="0"/>
          <w:numId w:val="15"/>
        </w:numPr>
        <w:autoSpaceDE w:val="0"/>
        <w:autoSpaceDN w:val="0"/>
        <w:adjustRightInd w:val="0"/>
        <w:spacing w:after="0" w:line="240" w:lineRule="auto"/>
        <w:jc w:val="both"/>
        <w:rPr>
          <w:rFonts w:ascii="EUAlbertina" w:eastAsiaTheme="minorHAnsi" w:hAnsi="EUAlbertina" w:cs="EUAlbertina"/>
          <w:color w:val="000000"/>
          <w:sz w:val="19"/>
          <w:szCs w:val="19"/>
        </w:rPr>
      </w:pPr>
      <w:r w:rsidRPr="00CA3F72">
        <w:rPr>
          <w:rFonts w:ascii="Times New Roman" w:eastAsiaTheme="minorHAnsi" w:hAnsi="Times New Roman"/>
          <w:color w:val="000000"/>
          <w:sz w:val="24"/>
          <w:szCs w:val="24"/>
        </w:rPr>
        <w:t>в случай на схеми</w:t>
      </w:r>
      <w:r w:rsidR="00443EE5">
        <w:rPr>
          <w:rFonts w:ascii="Times New Roman" w:eastAsiaTheme="minorHAnsi" w:hAnsi="Times New Roman"/>
          <w:color w:val="000000"/>
          <w:sz w:val="24"/>
          <w:szCs w:val="24"/>
        </w:rPr>
        <w:t xml:space="preserve"> </w:t>
      </w:r>
      <w:r w:rsidR="007F05D6">
        <w:rPr>
          <w:rFonts w:ascii="Times New Roman" w:eastAsiaTheme="minorHAnsi" w:hAnsi="Times New Roman"/>
          <w:color w:val="000000"/>
          <w:sz w:val="24"/>
          <w:szCs w:val="24"/>
        </w:rPr>
        <w:t>-</w:t>
      </w:r>
      <w:r w:rsidRPr="00CA3F72">
        <w:rPr>
          <w:rFonts w:ascii="Times New Roman" w:eastAsiaTheme="minorHAnsi" w:hAnsi="Times New Roman"/>
          <w:color w:val="000000"/>
          <w:sz w:val="24"/>
          <w:szCs w:val="24"/>
        </w:rPr>
        <w:t xml:space="preserve"> средн</w:t>
      </w:r>
      <w:r w:rsidR="007F05D6">
        <w:rPr>
          <w:rFonts w:ascii="Times New Roman" w:eastAsiaTheme="minorHAnsi" w:hAnsi="Times New Roman"/>
          <w:color w:val="000000"/>
          <w:sz w:val="24"/>
          <w:szCs w:val="24"/>
        </w:rPr>
        <w:t>ия</w:t>
      </w:r>
      <w:r w:rsidRPr="00CA3F72">
        <w:rPr>
          <w:rFonts w:ascii="Times New Roman" w:eastAsiaTheme="minorHAnsi" w:hAnsi="Times New Roman"/>
          <w:color w:val="000000"/>
          <w:sz w:val="24"/>
          <w:szCs w:val="24"/>
        </w:rPr>
        <w:t xml:space="preserve"> годишен бюджет </w:t>
      </w:r>
      <w:r w:rsidR="007F05D6">
        <w:rPr>
          <w:rFonts w:ascii="Times New Roman" w:eastAsiaTheme="minorHAnsi" w:hAnsi="Times New Roman"/>
          <w:color w:val="000000"/>
          <w:sz w:val="24"/>
          <w:szCs w:val="24"/>
        </w:rPr>
        <w:t>не трябва да надвишава</w:t>
      </w:r>
      <w:r w:rsidR="007F05D6" w:rsidRPr="00CA3F72">
        <w:rPr>
          <w:rFonts w:ascii="Times New Roman" w:eastAsiaTheme="minorHAnsi" w:hAnsi="Times New Roman"/>
          <w:color w:val="000000"/>
          <w:sz w:val="24"/>
          <w:szCs w:val="24"/>
        </w:rPr>
        <w:t xml:space="preserve"> </w:t>
      </w:r>
      <w:r w:rsidRPr="00CA3F72">
        <w:rPr>
          <w:rFonts w:ascii="Times New Roman" w:eastAsiaTheme="minorHAnsi" w:hAnsi="Times New Roman"/>
          <w:color w:val="000000"/>
          <w:sz w:val="24"/>
          <w:szCs w:val="24"/>
        </w:rPr>
        <w:t>300 милиона евро.</w:t>
      </w:r>
    </w:p>
    <w:p w14:paraId="2CAD7A5D" w14:textId="77777777" w:rsidR="00AE6BB3" w:rsidRPr="00E67627" w:rsidRDefault="00AE6BB3" w:rsidP="00AE6BB3">
      <w:pPr>
        <w:autoSpaceDE w:val="0"/>
        <w:autoSpaceDN w:val="0"/>
        <w:adjustRightInd w:val="0"/>
        <w:spacing w:after="0" w:line="240" w:lineRule="auto"/>
        <w:rPr>
          <w:rFonts w:ascii="EUAlbertina" w:eastAsiaTheme="minorHAnsi" w:hAnsi="EUAlbertina" w:cs="EUAlbertina"/>
          <w:color w:val="000000"/>
          <w:sz w:val="19"/>
          <w:szCs w:val="19"/>
        </w:rPr>
      </w:pPr>
    </w:p>
    <w:p w14:paraId="163BFCAF" w14:textId="23468B22" w:rsidR="00AE6BB3" w:rsidRDefault="00AE6BB3" w:rsidP="00AE6BB3">
      <w:pPr>
        <w:spacing w:before="120" w:after="120" w:line="276" w:lineRule="auto"/>
        <w:ind w:firstLine="709"/>
        <w:jc w:val="both"/>
        <w:rPr>
          <w:rFonts w:ascii="Times New Roman" w:hAnsi="Times New Roman"/>
          <w:sz w:val="24"/>
          <w:szCs w:val="24"/>
        </w:rPr>
      </w:pPr>
      <w:r w:rsidRPr="007831AD">
        <w:rPr>
          <w:rFonts w:ascii="Times New Roman" w:hAnsi="Times New Roman"/>
          <w:b/>
          <w:sz w:val="24"/>
          <w:szCs w:val="24"/>
        </w:rPr>
        <w:t>Общата стойност</w:t>
      </w:r>
      <w:r w:rsidRPr="007831AD">
        <w:rPr>
          <w:rFonts w:ascii="Times New Roman" w:hAnsi="Times New Roman"/>
          <w:sz w:val="24"/>
          <w:szCs w:val="24"/>
        </w:rPr>
        <w:t xml:space="preserve"> на </w:t>
      </w:r>
      <w:r w:rsidR="008D52A7" w:rsidRPr="00954DB6">
        <w:rPr>
          <w:rFonts w:ascii="Times New Roman" w:hAnsi="Times New Roman"/>
          <w:sz w:val="24"/>
          <w:szCs w:val="24"/>
        </w:rPr>
        <w:t xml:space="preserve">Процедура № </w:t>
      </w:r>
      <w:r w:rsidR="00884D55" w:rsidRPr="00884D55">
        <w:rPr>
          <w:rFonts w:ascii="Times New Roman" w:hAnsi="Times New Roman"/>
          <w:sz w:val="24"/>
          <w:szCs w:val="24"/>
        </w:rPr>
        <w:t>2021BG16FFPR001-3.004</w:t>
      </w:r>
      <w:r w:rsidR="00884D55" w:rsidRPr="00884D55" w:rsidDel="00884D55">
        <w:rPr>
          <w:rFonts w:ascii="Times New Roman" w:hAnsi="Times New Roman"/>
          <w:sz w:val="24"/>
          <w:szCs w:val="24"/>
        </w:rPr>
        <w:t xml:space="preserve"> </w:t>
      </w:r>
      <w:r w:rsidR="008D52A7" w:rsidRPr="00954DB6">
        <w:rPr>
          <w:rFonts w:ascii="Times New Roman" w:hAnsi="Times New Roman"/>
          <w:b/>
          <w:sz w:val="24"/>
          <w:szCs w:val="24"/>
        </w:rPr>
        <w:t>„Зарядна инфраструктура за електрически превозни средства</w:t>
      </w:r>
      <w:r w:rsidR="00275EF0" w:rsidRPr="00954DB6">
        <w:rPr>
          <w:rFonts w:ascii="Times New Roman" w:hAnsi="Times New Roman"/>
          <w:b/>
          <w:sz w:val="24"/>
          <w:szCs w:val="24"/>
        </w:rPr>
        <w:t xml:space="preserve"> по пътища</w:t>
      </w:r>
      <w:r w:rsidR="00443EE5">
        <w:rPr>
          <w:rFonts w:ascii="Times New Roman" w:hAnsi="Times New Roman"/>
          <w:b/>
          <w:sz w:val="24"/>
          <w:szCs w:val="24"/>
        </w:rPr>
        <w:t xml:space="preserve"> </w:t>
      </w:r>
      <w:r w:rsidR="00884D55">
        <w:rPr>
          <w:rFonts w:ascii="Times New Roman" w:hAnsi="Times New Roman"/>
          <w:b/>
          <w:sz w:val="24"/>
          <w:szCs w:val="24"/>
          <w:lang w:val="en-US"/>
        </w:rPr>
        <w:t xml:space="preserve">- </w:t>
      </w:r>
      <w:r w:rsidR="00443EE5">
        <w:rPr>
          <w:rFonts w:ascii="Times New Roman" w:hAnsi="Times New Roman"/>
          <w:b/>
          <w:sz w:val="24"/>
          <w:szCs w:val="24"/>
        </w:rPr>
        <w:t>втора процедура</w:t>
      </w:r>
      <w:r w:rsidR="008D52A7" w:rsidRPr="00954DB6">
        <w:rPr>
          <w:rFonts w:ascii="Times New Roman" w:hAnsi="Times New Roman"/>
          <w:b/>
          <w:sz w:val="24"/>
          <w:szCs w:val="24"/>
        </w:rPr>
        <w:t>“</w:t>
      </w:r>
      <w:r w:rsidRPr="007831AD">
        <w:rPr>
          <w:rFonts w:ascii="Times New Roman" w:hAnsi="Times New Roman"/>
          <w:sz w:val="24"/>
          <w:szCs w:val="24"/>
        </w:rPr>
        <w:t xml:space="preserve"> е</w:t>
      </w:r>
      <w:r w:rsidR="00223070">
        <w:rPr>
          <w:rFonts w:ascii="Times New Roman" w:hAnsi="Times New Roman"/>
          <w:sz w:val="24"/>
          <w:szCs w:val="24"/>
        </w:rPr>
        <w:t xml:space="preserve"> </w:t>
      </w:r>
      <w:r w:rsidR="006969C9" w:rsidRPr="006969C9">
        <w:rPr>
          <w:rFonts w:ascii="Times New Roman" w:hAnsi="Times New Roman"/>
          <w:sz w:val="24"/>
          <w:szCs w:val="24"/>
        </w:rPr>
        <w:t xml:space="preserve">10 012 303,45 </w:t>
      </w:r>
      <w:r w:rsidR="006D482B" w:rsidRPr="006D482B">
        <w:rPr>
          <w:rFonts w:ascii="Times New Roman" w:hAnsi="Times New Roman"/>
          <w:sz w:val="24"/>
          <w:szCs w:val="24"/>
        </w:rPr>
        <w:t>евро</w:t>
      </w:r>
      <w:r w:rsidRPr="00F0646E">
        <w:rPr>
          <w:rFonts w:ascii="Times New Roman" w:hAnsi="Times New Roman"/>
          <w:sz w:val="24"/>
          <w:szCs w:val="24"/>
        </w:rPr>
        <w:t xml:space="preserve">, като се очаква финансиране от Приоритет 3 </w:t>
      </w:r>
      <w:r w:rsidR="00071421" w:rsidRPr="00F0646E">
        <w:rPr>
          <w:rFonts w:ascii="Times New Roman" w:hAnsi="Times New Roman"/>
          <w:sz w:val="24"/>
          <w:szCs w:val="24"/>
        </w:rPr>
        <w:t xml:space="preserve">на </w:t>
      </w:r>
      <w:r w:rsidRPr="00F0646E">
        <w:rPr>
          <w:rFonts w:ascii="Times New Roman" w:hAnsi="Times New Roman"/>
          <w:sz w:val="24"/>
          <w:szCs w:val="24"/>
        </w:rPr>
        <w:t>Програма „Транспортна свъ</w:t>
      </w:r>
      <w:r w:rsidRPr="007831AD">
        <w:rPr>
          <w:rFonts w:ascii="Times New Roman" w:hAnsi="Times New Roman"/>
          <w:sz w:val="24"/>
          <w:szCs w:val="24"/>
        </w:rPr>
        <w:t xml:space="preserve">рзаност“ 2021-2027. </w:t>
      </w:r>
      <w:r>
        <w:rPr>
          <w:rFonts w:ascii="Times New Roman" w:hAnsi="Times New Roman"/>
          <w:sz w:val="24"/>
          <w:szCs w:val="24"/>
        </w:rPr>
        <w:t>Също така е предвидено максималната помощ</w:t>
      </w:r>
      <w:r w:rsidR="00F0646E">
        <w:rPr>
          <w:rFonts w:ascii="Times New Roman" w:hAnsi="Times New Roman"/>
          <w:sz w:val="24"/>
          <w:szCs w:val="24"/>
        </w:rPr>
        <w:t>,</w:t>
      </w:r>
      <w:r>
        <w:rPr>
          <w:rFonts w:ascii="Times New Roman" w:hAnsi="Times New Roman"/>
          <w:sz w:val="24"/>
          <w:szCs w:val="24"/>
        </w:rPr>
        <w:t xml:space="preserve"> отпускана на предприятие за проект да не надвишава </w:t>
      </w:r>
      <w:r w:rsidR="006D482B">
        <w:rPr>
          <w:rFonts w:ascii="Times New Roman" w:hAnsi="Times New Roman"/>
          <w:sz w:val="24"/>
          <w:szCs w:val="24"/>
        </w:rPr>
        <w:t>256 000,00 евро</w:t>
      </w:r>
      <w:r>
        <w:rPr>
          <w:rFonts w:ascii="Times New Roman" w:hAnsi="Times New Roman"/>
          <w:sz w:val="24"/>
          <w:szCs w:val="24"/>
        </w:rPr>
        <w:t>.</w:t>
      </w:r>
    </w:p>
    <w:p w14:paraId="16597036" w14:textId="412F5460" w:rsidR="00AE6BB3" w:rsidRDefault="00AE6BB3" w:rsidP="00AE6BB3">
      <w:pPr>
        <w:autoSpaceDE w:val="0"/>
        <w:autoSpaceDN w:val="0"/>
        <w:adjustRightInd w:val="0"/>
        <w:spacing w:before="120" w:after="120" w:line="240" w:lineRule="auto"/>
        <w:ind w:firstLine="708"/>
        <w:jc w:val="both"/>
        <w:rPr>
          <w:rFonts w:ascii="Times New Roman" w:hAnsi="Times New Roman"/>
          <w:sz w:val="24"/>
          <w:szCs w:val="24"/>
          <w:lang w:eastAsia="bg-BG"/>
        </w:rPr>
      </w:pPr>
      <w:r>
        <w:rPr>
          <w:rFonts w:ascii="Times New Roman" w:hAnsi="Times New Roman"/>
          <w:b/>
          <w:sz w:val="24"/>
          <w:szCs w:val="24"/>
        </w:rPr>
        <w:t>С оглед на гореизложеното п</w:t>
      </w:r>
      <w:r w:rsidRPr="007831AD">
        <w:rPr>
          <w:rFonts w:ascii="Times New Roman" w:hAnsi="Times New Roman"/>
          <w:b/>
          <w:sz w:val="24"/>
          <w:szCs w:val="24"/>
        </w:rPr>
        <w:t>омощта, която попада в обхвата на държавна помощ</w:t>
      </w:r>
      <w:r w:rsidRPr="007831AD">
        <w:rPr>
          <w:rFonts w:ascii="Times New Roman" w:hAnsi="Times New Roman"/>
          <w:sz w:val="24"/>
          <w:szCs w:val="24"/>
        </w:rPr>
        <w:t xml:space="preserve"> и е част от общото финансиране за реализиране на проекта </w:t>
      </w:r>
      <w:r>
        <w:rPr>
          <w:rFonts w:ascii="Times New Roman" w:hAnsi="Times New Roman"/>
          <w:sz w:val="24"/>
          <w:szCs w:val="24"/>
        </w:rPr>
        <w:t>з</w:t>
      </w:r>
      <w:r w:rsidRPr="007831AD">
        <w:rPr>
          <w:rFonts w:ascii="Times New Roman" w:hAnsi="Times New Roman"/>
          <w:sz w:val="24"/>
          <w:szCs w:val="24"/>
        </w:rPr>
        <w:t xml:space="preserve">а </w:t>
      </w:r>
      <w:r>
        <w:rPr>
          <w:rFonts w:ascii="Times New Roman" w:hAnsi="Times New Roman"/>
          <w:sz w:val="24"/>
          <w:szCs w:val="24"/>
        </w:rPr>
        <w:t xml:space="preserve">зарядна инфраструктура </w:t>
      </w:r>
      <w:r w:rsidRPr="007831AD">
        <w:rPr>
          <w:rFonts w:ascii="Times New Roman" w:hAnsi="Times New Roman"/>
          <w:b/>
          <w:sz w:val="24"/>
          <w:szCs w:val="24"/>
        </w:rPr>
        <w:t>не надхвърля определения праг за допустими разходи</w:t>
      </w:r>
      <w:r>
        <w:rPr>
          <w:rFonts w:ascii="Times New Roman" w:hAnsi="Times New Roman"/>
          <w:b/>
          <w:sz w:val="24"/>
          <w:szCs w:val="24"/>
        </w:rPr>
        <w:t>те съгласно Регламент</w:t>
      </w:r>
      <w:r w:rsidR="00597277">
        <w:rPr>
          <w:rFonts w:ascii="Times New Roman" w:hAnsi="Times New Roman"/>
          <w:b/>
          <w:sz w:val="24"/>
          <w:szCs w:val="24"/>
        </w:rPr>
        <w:t xml:space="preserve"> </w:t>
      </w:r>
      <w:r w:rsidR="00597277" w:rsidRPr="00597277">
        <w:rPr>
          <w:rFonts w:ascii="Times New Roman" w:hAnsi="Times New Roman"/>
          <w:b/>
          <w:sz w:val="24"/>
          <w:szCs w:val="24"/>
        </w:rPr>
        <w:t>на Комисията (ЕС) № 651/2014</w:t>
      </w:r>
      <w:r>
        <w:rPr>
          <w:rFonts w:ascii="Times New Roman" w:hAnsi="Times New Roman"/>
          <w:b/>
          <w:sz w:val="24"/>
          <w:szCs w:val="24"/>
        </w:rPr>
        <w:t>.</w:t>
      </w:r>
    </w:p>
    <w:p w14:paraId="003288A9" w14:textId="77777777" w:rsidR="008E4A1B" w:rsidRPr="002D0F84" w:rsidRDefault="008E4A1B" w:rsidP="008E4A1B">
      <w:pPr>
        <w:autoSpaceDE w:val="0"/>
        <w:autoSpaceDN w:val="0"/>
        <w:adjustRightInd w:val="0"/>
        <w:spacing w:before="120" w:after="120" w:line="240" w:lineRule="auto"/>
        <w:ind w:firstLine="708"/>
        <w:jc w:val="both"/>
        <w:rPr>
          <w:rFonts w:ascii="Times New Roman" w:hAnsi="Times New Roman"/>
          <w:bCs/>
          <w:sz w:val="24"/>
          <w:szCs w:val="24"/>
          <w:lang w:eastAsia="bg-BG"/>
        </w:rPr>
      </w:pPr>
      <w:r w:rsidRPr="002D0F84">
        <w:rPr>
          <w:rFonts w:ascii="Times New Roman" w:hAnsi="Times New Roman"/>
          <w:bCs/>
          <w:sz w:val="24"/>
          <w:szCs w:val="24"/>
          <w:lang w:eastAsia="bg-BG"/>
        </w:rPr>
        <w:t>Задължително условие при прилагането на чл. 36а е изпълнението на параграфи 10 и 11</w:t>
      </w:r>
      <w:r w:rsidR="00EE5029">
        <w:rPr>
          <w:rFonts w:ascii="Times New Roman" w:hAnsi="Times New Roman"/>
          <w:bCs/>
          <w:sz w:val="24"/>
          <w:szCs w:val="24"/>
          <w:lang w:eastAsia="bg-BG"/>
        </w:rPr>
        <w:t>,</w:t>
      </w:r>
      <w:r w:rsidRPr="002D0F84">
        <w:rPr>
          <w:rFonts w:ascii="Times New Roman" w:hAnsi="Times New Roman"/>
          <w:bCs/>
          <w:sz w:val="24"/>
          <w:szCs w:val="24"/>
          <w:lang w:eastAsia="bg-BG"/>
        </w:rPr>
        <w:t xml:space="preserve"> обуславящ</w:t>
      </w:r>
      <w:r w:rsidR="002D0F84" w:rsidRPr="002D0F84">
        <w:rPr>
          <w:rFonts w:ascii="Times New Roman" w:hAnsi="Times New Roman"/>
          <w:bCs/>
          <w:sz w:val="24"/>
          <w:szCs w:val="24"/>
          <w:lang w:eastAsia="bg-BG"/>
        </w:rPr>
        <w:t xml:space="preserve">и необходимостта от предоставяне на помощ за инфраструктура за зареждане. </w:t>
      </w:r>
    </w:p>
    <w:p w14:paraId="2DB161FC" w14:textId="77777777" w:rsidR="008E4A1B" w:rsidRDefault="002D0F84" w:rsidP="00FD4CC6">
      <w:pPr>
        <w:autoSpaceDE w:val="0"/>
        <w:autoSpaceDN w:val="0"/>
        <w:adjustRightInd w:val="0"/>
        <w:spacing w:before="120" w:after="120" w:line="240" w:lineRule="auto"/>
        <w:ind w:firstLine="708"/>
        <w:jc w:val="both"/>
        <w:rPr>
          <w:rFonts w:ascii="Times New Roman" w:hAnsi="Times New Roman"/>
          <w:bCs/>
          <w:sz w:val="24"/>
          <w:szCs w:val="24"/>
          <w:lang w:eastAsia="bg-BG"/>
        </w:rPr>
      </w:pPr>
      <w:r>
        <w:rPr>
          <w:rFonts w:ascii="Times New Roman" w:hAnsi="Times New Roman"/>
          <w:bCs/>
          <w:sz w:val="24"/>
          <w:szCs w:val="24"/>
          <w:lang w:eastAsia="bg-BG"/>
        </w:rPr>
        <w:t xml:space="preserve">Съгласно параграф 11, прилагащ се като изключение от параграф 10,  необходимостта от помощ за инфраструктура за зареждане с електроенергия </w:t>
      </w:r>
      <w:r w:rsidR="004852AE">
        <w:rPr>
          <w:rFonts w:ascii="Times New Roman" w:hAnsi="Times New Roman"/>
          <w:bCs/>
          <w:sz w:val="24"/>
          <w:szCs w:val="24"/>
          <w:lang w:eastAsia="bg-BG"/>
        </w:rPr>
        <w:t>за пътни превозни средства се допуска, когато превозните средства, задвижвани изключително с електроенергия, представляват съответно по-малко от 3% от цел</w:t>
      </w:r>
      <w:r w:rsidR="008F20E5">
        <w:rPr>
          <w:rFonts w:ascii="Times New Roman" w:hAnsi="Times New Roman"/>
          <w:bCs/>
          <w:sz w:val="24"/>
          <w:szCs w:val="24"/>
          <w:lang w:eastAsia="bg-BG"/>
        </w:rPr>
        <w:t xml:space="preserve">ия автопарк от същата категория, регистриран в съответната държава членка. Като леките автомобили и леките търговски превозни средства се считат за част от същата категория превозни средства. </w:t>
      </w:r>
    </w:p>
    <w:p w14:paraId="0908C8EF" w14:textId="065EFB10" w:rsidR="00A30F8C" w:rsidRPr="00E26A99" w:rsidRDefault="008F20E5" w:rsidP="00FD4CC6">
      <w:pPr>
        <w:autoSpaceDE w:val="0"/>
        <w:autoSpaceDN w:val="0"/>
        <w:adjustRightInd w:val="0"/>
        <w:spacing w:before="120" w:after="120" w:line="240" w:lineRule="auto"/>
        <w:ind w:firstLine="708"/>
        <w:jc w:val="both"/>
        <w:rPr>
          <w:rFonts w:ascii="Times New Roman" w:hAnsi="Times New Roman"/>
          <w:bCs/>
          <w:i/>
          <w:sz w:val="24"/>
          <w:szCs w:val="24"/>
          <w:lang w:eastAsia="bg-BG"/>
        </w:rPr>
      </w:pPr>
      <w:r>
        <w:rPr>
          <w:rFonts w:ascii="Times New Roman" w:hAnsi="Times New Roman"/>
          <w:bCs/>
          <w:sz w:val="24"/>
          <w:szCs w:val="24"/>
          <w:lang w:eastAsia="bg-BG"/>
        </w:rPr>
        <w:t xml:space="preserve">Съгласно регистъра на превозните средства, поддържан от Министерство </w:t>
      </w:r>
      <w:r w:rsidR="00E4012B">
        <w:rPr>
          <w:rFonts w:ascii="Times New Roman" w:hAnsi="Times New Roman"/>
          <w:bCs/>
          <w:sz w:val="24"/>
          <w:szCs w:val="24"/>
          <w:lang w:eastAsia="bg-BG"/>
        </w:rPr>
        <w:t xml:space="preserve">на вътрешните работи, дирекция </w:t>
      </w:r>
      <w:r>
        <w:rPr>
          <w:rFonts w:ascii="Times New Roman" w:hAnsi="Times New Roman"/>
          <w:bCs/>
          <w:sz w:val="24"/>
          <w:szCs w:val="24"/>
          <w:lang w:eastAsia="bg-BG"/>
        </w:rPr>
        <w:t>КИАД</w:t>
      </w:r>
      <w:r w:rsidR="00E4012B">
        <w:rPr>
          <w:rFonts w:ascii="Times New Roman" w:hAnsi="Times New Roman"/>
          <w:bCs/>
          <w:sz w:val="24"/>
          <w:szCs w:val="24"/>
          <w:lang w:eastAsia="bg-BG"/>
        </w:rPr>
        <w:t>, към 01.0</w:t>
      </w:r>
      <w:r w:rsidR="00AF3D24">
        <w:rPr>
          <w:rFonts w:ascii="Times New Roman" w:hAnsi="Times New Roman"/>
          <w:bCs/>
          <w:sz w:val="24"/>
          <w:szCs w:val="24"/>
          <w:lang w:val="en-US" w:eastAsia="bg-BG"/>
        </w:rPr>
        <w:t>7</w:t>
      </w:r>
      <w:r w:rsidR="00E4012B">
        <w:rPr>
          <w:rFonts w:ascii="Times New Roman" w:hAnsi="Times New Roman"/>
          <w:bCs/>
          <w:sz w:val="24"/>
          <w:szCs w:val="24"/>
          <w:lang w:eastAsia="bg-BG"/>
        </w:rPr>
        <w:t>.202</w:t>
      </w:r>
      <w:r w:rsidR="00CC383D">
        <w:rPr>
          <w:rFonts w:ascii="Times New Roman" w:hAnsi="Times New Roman"/>
          <w:bCs/>
          <w:sz w:val="24"/>
          <w:szCs w:val="24"/>
          <w:lang w:eastAsia="bg-BG"/>
        </w:rPr>
        <w:t>5 г.</w:t>
      </w:r>
      <w:r w:rsidR="00E4012B">
        <w:rPr>
          <w:rFonts w:ascii="Times New Roman" w:hAnsi="Times New Roman"/>
          <w:bCs/>
          <w:sz w:val="24"/>
          <w:szCs w:val="24"/>
          <w:lang w:eastAsia="bg-BG"/>
        </w:rPr>
        <w:t xml:space="preserve"> на територията на България са регистрирани общо </w:t>
      </w:r>
      <w:r w:rsidR="00AF3D24">
        <w:rPr>
          <w:rFonts w:ascii="Times New Roman" w:hAnsi="Times New Roman"/>
          <w:bCs/>
          <w:sz w:val="24"/>
          <w:szCs w:val="24"/>
          <w:lang w:val="en-US" w:eastAsia="bg-BG"/>
        </w:rPr>
        <w:t>26 347</w:t>
      </w:r>
      <w:r w:rsidR="00E4012B">
        <w:rPr>
          <w:rFonts w:ascii="Times New Roman" w:hAnsi="Times New Roman"/>
          <w:bCs/>
          <w:sz w:val="24"/>
          <w:szCs w:val="24"/>
          <w:lang w:eastAsia="bg-BG"/>
        </w:rPr>
        <w:t xml:space="preserve"> </w:t>
      </w:r>
      <w:r w:rsidR="00B826DB">
        <w:rPr>
          <w:rFonts w:ascii="Times New Roman" w:hAnsi="Times New Roman"/>
          <w:bCs/>
          <w:sz w:val="24"/>
          <w:szCs w:val="24"/>
          <w:lang w:eastAsia="bg-BG"/>
        </w:rPr>
        <w:t>превозни средства</w:t>
      </w:r>
      <w:r w:rsidR="00723346">
        <w:rPr>
          <w:rFonts w:ascii="Times New Roman" w:hAnsi="Times New Roman"/>
          <w:bCs/>
          <w:sz w:val="24"/>
          <w:szCs w:val="24"/>
          <w:lang w:eastAsia="bg-BG"/>
        </w:rPr>
        <w:t xml:space="preserve"> (не с</w:t>
      </w:r>
      <w:r w:rsidR="001220BD">
        <w:rPr>
          <w:rFonts w:ascii="Times New Roman" w:hAnsi="Times New Roman"/>
          <w:bCs/>
          <w:sz w:val="24"/>
          <w:szCs w:val="24"/>
          <w:lang w:eastAsia="bg-BG"/>
        </w:rPr>
        <w:t>а</w:t>
      </w:r>
      <w:r w:rsidR="00723346">
        <w:rPr>
          <w:rFonts w:ascii="Times New Roman" w:hAnsi="Times New Roman"/>
          <w:bCs/>
          <w:sz w:val="24"/>
          <w:szCs w:val="24"/>
          <w:lang w:eastAsia="bg-BG"/>
        </w:rPr>
        <w:t xml:space="preserve"> вкл. автобусите)</w:t>
      </w:r>
      <w:r w:rsidR="00B826DB">
        <w:rPr>
          <w:rFonts w:ascii="Times New Roman" w:hAnsi="Times New Roman"/>
          <w:bCs/>
          <w:sz w:val="24"/>
          <w:szCs w:val="24"/>
          <w:lang w:eastAsia="bg-BG"/>
        </w:rPr>
        <w:t>, задвижвани изключително с електроенергия</w:t>
      </w:r>
      <w:r w:rsidR="007105A2">
        <w:rPr>
          <w:rFonts w:ascii="Times New Roman" w:hAnsi="Times New Roman"/>
          <w:bCs/>
          <w:sz w:val="24"/>
          <w:szCs w:val="24"/>
          <w:lang w:eastAsia="bg-BG"/>
        </w:rPr>
        <w:t xml:space="preserve">. </w:t>
      </w:r>
      <w:r w:rsidR="00C00152">
        <w:rPr>
          <w:rFonts w:ascii="Times New Roman" w:hAnsi="Times New Roman"/>
          <w:bCs/>
          <w:sz w:val="24"/>
          <w:szCs w:val="24"/>
          <w:lang w:eastAsia="bg-BG"/>
        </w:rPr>
        <w:t xml:space="preserve">Информация от МВР за броя на регистрираните превозни средства на територията на България може да бъде намерена на следния линк: </w:t>
      </w:r>
      <w:r w:rsidR="00AF3D24" w:rsidRPr="00AF3D24">
        <w:rPr>
          <w:rFonts w:ascii="Times New Roman" w:hAnsi="Times New Roman"/>
          <w:bCs/>
          <w:i/>
          <w:sz w:val="24"/>
          <w:szCs w:val="24"/>
          <w:lang w:eastAsia="bg-BG"/>
        </w:rPr>
        <w:t>https://data.egov.bg/data/view/3a5697d6-e59c-45ac-8a30-9335fa89c67f?rpage=1</w:t>
      </w:r>
      <w:r w:rsidR="00E26A99">
        <w:rPr>
          <w:rFonts w:ascii="Times New Roman" w:hAnsi="Times New Roman"/>
          <w:bCs/>
          <w:i/>
          <w:sz w:val="24"/>
          <w:szCs w:val="24"/>
          <w:lang w:eastAsia="bg-BG"/>
        </w:rPr>
        <w:t xml:space="preserve">. </w:t>
      </w:r>
    </w:p>
    <w:p w14:paraId="31112628" w14:textId="77777777" w:rsidR="00B826DB" w:rsidRDefault="00B826DB" w:rsidP="00FD4CC6">
      <w:pPr>
        <w:autoSpaceDE w:val="0"/>
        <w:autoSpaceDN w:val="0"/>
        <w:adjustRightInd w:val="0"/>
        <w:spacing w:before="120" w:after="120" w:line="240" w:lineRule="auto"/>
        <w:ind w:firstLine="708"/>
        <w:jc w:val="both"/>
        <w:rPr>
          <w:rFonts w:ascii="Times New Roman" w:hAnsi="Times New Roman"/>
          <w:bCs/>
          <w:sz w:val="24"/>
          <w:szCs w:val="24"/>
          <w:lang w:eastAsia="bg-BG"/>
        </w:rPr>
      </w:pPr>
      <w:r>
        <w:rPr>
          <w:rFonts w:ascii="Times New Roman" w:hAnsi="Times New Roman"/>
          <w:bCs/>
          <w:sz w:val="24"/>
          <w:szCs w:val="24"/>
          <w:lang w:eastAsia="bg-BG"/>
        </w:rPr>
        <w:t>В таблица</w:t>
      </w:r>
      <w:r w:rsidR="00A30F8C">
        <w:rPr>
          <w:rFonts w:ascii="Times New Roman" w:hAnsi="Times New Roman"/>
          <w:bCs/>
          <w:sz w:val="24"/>
          <w:szCs w:val="24"/>
          <w:lang w:eastAsia="bg-BG"/>
        </w:rPr>
        <w:t xml:space="preserve"> 1</w:t>
      </w:r>
      <w:r>
        <w:rPr>
          <w:rFonts w:ascii="Times New Roman" w:hAnsi="Times New Roman"/>
          <w:bCs/>
          <w:sz w:val="24"/>
          <w:szCs w:val="24"/>
          <w:lang w:eastAsia="bg-BG"/>
        </w:rPr>
        <w:t xml:space="preserve"> може да се види</w:t>
      </w:r>
      <w:r w:rsidR="00386A53">
        <w:rPr>
          <w:rFonts w:ascii="Times New Roman" w:hAnsi="Times New Roman"/>
          <w:bCs/>
          <w:sz w:val="24"/>
          <w:szCs w:val="24"/>
          <w:lang w:eastAsia="bg-BG"/>
        </w:rPr>
        <w:t xml:space="preserve">, че </w:t>
      </w:r>
      <w:r>
        <w:rPr>
          <w:rFonts w:ascii="Times New Roman" w:hAnsi="Times New Roman"/>
          <w:bCs/>
          <w:sz w:val="24"/>
          <w:szCs w:val="24"/>
          <w:lang w:eastAsia="bg-BG"/>
        </w:rPr>
        <w:t xml:space="preserve">процентното съотношение на </w:t>
      </w:r>
      <w:r w:rsidR="00BA7A74">
        <w:rPr>
          <w:rFonts w:ascii="Times New Roman" w:hAnsi="Times New Roman"/>
          <w:bCs/>
          <w:sz w:val="24"/>
          <w:szCs w:val="24"/>
          <w:lang w:eastAsia="bg-BG"/>
        </w:rPr>
        <w:t>електромобили</w:t>
      </w:r>
      <w:r>
        <w:rPr>
          <w:rFonts w:ascii="Times New Roman" w:hAnsi="Times New Roman"/>
          <w:bCs/>
          <w:sz w:val="24"/>
          <w:szCs w:val="24"/>
          <w:lang w:eastAsia="bg-BG"/>
        </w:rPr>
        <w:t xml:space="preserve"> към общо регистрираните превозни средства от съответната категория</w:t>
      </w:r>
      <w:r w:rsidR="00386A53">
        <w:rPr>
          <w:rFonts w:ascii="Times New Roman" w:hAnsi="Times New Roman"/>
          <w:bCs/>
          <w:sz w:val="24"/>
          <w:szCs w:val="24"/>
          <w:lang w:eastAsia="bg-BG"/>
        </w:rPr>
        <w:t xml:space="preserve"> е по-малко от 3% както за общия брой превозни средства така и по</w:t>
      </w:r>
      <w:r w:rsidR="00E728CF">
        <w:rPr>
          <w:rFonts w:ascii="Times New Roman" w:hAnsi="Times New Roman"/>
          <w:bCs/>
          <w:sz w:val="24"/>
          <w:szCs w:val="24"/>
          <w:lang w:eastAsia="bg-BG"/>
        </w:rPr>
        <w:t xml:space="preserve"> съответните</w:t>
      </w:r>
      <w:r w:rsidR="00386A53">
        <w:rPr>
          <w:rFonts w:ascii="Times New Roman" w:hAnsi="Times New Roman"/>
          <w:bCs/>
          <w:sz w:val="24"/>
          <w:szCs w:val="24"/>
          <w:lang w:eastAsia="bg-BG"/>
        </w:rPr>
        <w:t xml:space="preserve"> категори</w:t>
      </w:r>
      <w:r w:rsidR="00F57683">
        <w:rPr>
          <w:rFonts w:ascii="Times New Roman" w:hAnsi="Times New Roman"/>
          <w:bCs/>
          <w:sz w:val="24"/>
          <w:szCs w:val="24"/>
          <w:lang w:eastAsia="bg-BG"/>
        </w:rPr>
        <w:t>и</w:t>
      </w:r>
      <w:r>
        <w:rPr>
          <w:rFonts w:ascii="Times New Roman" w:hAnsi="Times New Roman"/>
          <w:bCs/>
          <w:sz w:val="24"/>
          <w:szCs w:val="24"/>
          <w:lang w:eastAsia="bg-BG"/>
        </w:rPr>
        <w:t xml:space="preserve">. </w:t>
      </w:r>
    </w:p>
    <w:p w14:paraId="79F1A23F" w14:textId="77777777" w:rsidR="00B826DB" w:rsidRDefault="00A30F8C" w:rsidP="00FD4CC6">
      <w:pPr>
        <w:autoSpaceDE w:val="0"/>
        <w:autoSpaceDN w:val="0"/>
        <w:adjustRightInd w:val="0"/>
        <w:spacing w:before="120" w:after="120" w:line="240" w:lineRule="auto"/>
        <w:ind w:firstLine="708"/>
        <w:jc w:val="both"/>
        <w:rPr>
          <w:rFonts w:ascii="Times New Roman" w:hAnsi="Times New Roman"/>
          <w:bCs/>
          <w:sz w:val="24"/>
          <w:szCs w:val="24"/>
          <w:lang w:eastAsia="bg-BG"/>
        </w:rPr>
      </w:pPr>
      <w:r>
        <w:rPr>
          <w:rFonts w:ascii="Times New Roman" w:hAnsi="Times New Roman"/>
          <w:bCs/>
          <w:sz w:val="24"/>
          <w:szCs w:val="24"/>
          <w:lang w:eastAsia="bg-BG"/>
        </w:rPr>
        <w:tab/>
      </w:r>
      <w:r>
        <w:rPr>
          <w:rFonts w:ascii="Times New Roman" w:hAnsi="Times New Roman"/>
          <w:bCs/>
          <w:sz w:val="24"/>
          <w:szCs w:val="24"/>
          <w:lang w:eastAsia="bg-BG"/>
        </w:rPr>
        <w:tab/>
      </w:r>
      <w:r>
        <w:rPr>
          <w:rFonts w:ascii="Times New Roman" w:hAnsi="Times New Roman"/>
          <w:bCs/>
          <w:sz w:val="24"/>
          <w:szCs w:val="24"/>
          <w:lang w:eastAsia="bg-BG"/>
        </w:rPr>
        <w:tab/>
      </w:r>
      <w:r>
        <w:rPr>
          <w:rFonts w:ascii="Times New Roman" w:hAnsi="Times New Roman"/>
          <w:bCs/>
          <w:sz w:val="24"/>
          <w:szCs w:val="24"/>
          <w:lang w:eastAsia="bg-BG"/>
        </w:rPr>
        <w:tab/>
      </w:r>
      <w:r>
        <w:rPr>
          <w:rFonts w:ascii="Times New Roman" w:hAnsi="Times New Roman"/>
          <w:bCs/>
          <w:sz w:val="24"/>
          <w:szCs w:val="24"/>
          <w:lang w:eastAsia="bg-BG"/>
        </w:rPr>
        <w:tab/>
      </w:r>
      <w:r>
        <w:rPr>
          <w:rFonts w:ascii="Times New Roman" w:hAnsi="Times New Roman"/>
          <w:bCs/>
          <w:sz w:val="24"/>
          <w:szCs w:val="24"/>
          <w:lang w:eastAsia="bg-BG"/>
        </w:rPr>
        <w:tab/>
      </w:r>
      <w:r>
        <w:rPr>
          <w:rFonts w:ascii="Times New Roman" w:hAnsi="Times New Roman"/>
          <w:bCs/>
          <w:sz w:val="24"/>
          <w:szCs w:val="24"/>
          <w:lang w:eastAsia="bg-BG"/>
        </w:rPr>
        <w:tab/>
      </w:r>
      <w:r>
        <w:rPr>
          <w:rFonts w:ascii="Times New Roman" w:hAnsi="Times New Roman"/>
          <w:bCs/>
          <w:sz w:val="24"/>
          <w:szCs w:val="24"/>
          <w:lang w:eastAsia="bg-BG"/>
        </w:rPr>
        <w:tab/>
      </w:r>
      <w:r>
        <w:rPr>
          <w:rFonts w:ascii="Times New Roman" w:hAnsi="Times New Roman"/>
          <w:bCs/>
          <w:sz w:val="24"/>
          <w:szCs w:val="24"/>
          <w:lang w:eastAsia="bg-BG"/>
        </w:rPr>
        <w:tab/>
      </w:r>
      <w:r>
        <w:rPr>
          <w:rFonts w:ascii="Times New Roman" w:hAnsi="Times New Roman"/>
          <w:bCs/>
          <w:sz w:val="24"/>
          <w:szCs w:val="24"/>
          <w:lang w:eastAsia="bg-BG"/>
        </w:rPr>
        <w:tab/>
        <w:t>Табл. 1</w:t>
      </w:r>
    </w:p>
    <w:tbl>
      <w:tblPr>
        <w:tblStyle w:val="GridTable6Colorful"/>
        <w:tblW w:w="9344" w:type="dxa"/>
        <w:tblLook w:val="04A0" w:firstRow="1" w:lastRow="0" w:firstColumn="1" w:lastColumn="0" w:noHBand="0" w:noVBand="1"/>
      </w:tblPr>
      <w:tblGrid>
        <w:gridCol w:w="2547"/>
        <w:gridCol w:w="2265"/>
        <w:gridCol w:w="2266"/>
        <w:gridCol w:w="2266"/>
      </w:tblGrid>
      <w:tr w:rsidR="00B826DB" w:rsidRPr="00B826DB" w14:paraId="6126AF4D" w14:textId="77777777" w:rsidTr="00A30F8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47" w:type="dxa"/>
          </w:tcPr>
          <w:p w14:paraId="45EA434C" w14:textId="77777777" w:rsidR="00B826DB" w:rsidRPr="00A30F8C" w:rsidRDefault="00B826DB" w:rsidP="00A30F8C">
            <w:pPr>
              <w:autoSpaceDE w:val="0"/>
              <w:autoSpaceDN w:val="0"/>
              <w:adjustRightInd w:val="0"/>
              <w:spacing w:before="120" w:after="120"/>
              <w:jc w:val="center"/>
              <w:rPr>
                <w:rFonts w:ascii="Times New Roman" w:hAnsi="Times New Roman"/>
                <w:bCs w:val="0"/>
                <w:sz w:val="24"/>
                <w:szCs w:val="24"/>
                <w:lang w:eastAsia="bg-BG"/>
              </w:rPr>
            </w:pPr>
            <w:r w:rsidRPr="00A30F8C">
              <w:rPr>
                <w:rFonts w:ascii="Times New Roman" w:hAnsi="Times New Roman"/>
                <w:bCs w:val="0"/>
                <w:sz w:val="24"/>
                <w:szCs w:val="24"/>
                <w:lang w:eastAsia="bg-BG"/>
              </w:rPr>
              <w:t>Категория ПС</w:t>
            </w:r>
          </w:p>
        </w:tc>
        <w:tc>
          <w:tcPr>
            <w:tcW w:w="2265" w:type="dxa"/>
          </w:tcPr>
          <w:p w14:paraId="4724908D" w14:textId="77777777" w:rsidR="00B826DB" w:rsidRPr="00A30F8C" w:rsidRDefault="00B826DB" w:rsidP="00A30F8C">
            <w:pPr>
              <w:autoSpaceDE w:val="0"/>
              <w:autoSpaceDN w:val="0"/>
              <w:adjustRightInd w:val="0"/>
              <w:spacing w:before="120" w:after="120"/>
              <w:jc w:val="center"/>
              <w:cnfStyle w:val="100000000000" w:firstRow="1" w:lastRow="0" w:firstColumn="0" w:lastColumn="0" w:oddVBand="0" w:evenVBand="0" w:oddHBand="0" w:evenHBand="0" w:firstRowFirstColumn="0" w:firstRowLastColumn="0" w:lastRowFirstColumn="0" w:lastRowLastColumn="0"/>
              <w:rPr>
                <w:rFonts w:ascii="Times New Roman" w:hAnsi="Times New Roman"/>
                <w:bCs w:val="0"/>
                <w:sz w:val="24"/>
                <w:szCs w:val="24"/>
                <w:lang w:eastAsia="bg-BG"/>
              </w:rPr>
            </w:pPr>
            <w:r w:rsidRPr="00A30F8C">
              <w:rPr>
                <w:rFonts w:ascii="Times New Roman" w:hAnsi="Times New Roman"/>
                <w:bCs w:val="0"/>
                <w:sz w:val="24"/>
                <w:szCs w:val="24"/>
                <w:lang w:eastAsia="bg-BG"/>
              </w:rPr>
              <w:t>Електромобили</w:t>
            </w:r>
          </w:p>
        </w:tc>
        <w:tc>
          <w:tcPr>
            <w:tcW w:w="2266" w:type="dxa"/>
          </w:tcPr>
          <w:p w14:paraId="60CA582C" w14:textId="77777777" w:rsidR="00B826DB" w:rsidRPr="00A30F8C" w:rsidRDefault="00B826DB" w:rsidP="00A30F8C">
            <w:pPr>
              <w:autoSpaceDE w:val="0"/>
              <w:autoSpaceDN w:val="0"/>
              <w:adjustRightInd w:val="0"/>
              <w:spacing w:before="120" w:after="120"/>
              <w:jc w:val="center"/>
              <w:cnfStyle w:val="100000000000" w:firstRow="1" w:lastRow="0" w:firstColumn="0" w:lastColumn="0" w:oddVBand="0" w:evenVBand="0" w:oddHBand="0" w:evenHBand="0" w:firstRowFirstColumn="0" w:firstRowLastColumn="0" w:lastRowFirstColumn="0" w:lastRowLastColumn="0"/>
              <w:rPr>
                <w:rFonts w:ascii="Times New Roman" w:hAnsi="Times New Roman"/>
                <w:bCs w:val="0"/>
                <w:sz w:val="24"/>
                <w:szCs w:val="24"/>
                <w:lang w:eastAsia="bg-BG"/>
              </w:rPr>
            </w:pPr>
            <w:r w:rsidRPr="00A30F8C">
              <w:rPr>
                <w:rFonts w:ascii="Times New Roman" w:hAnsi="Times New Roman"/>
                <w:bCs w:val="0"/>
                <w:sz w:val="24"/>
                <w:szCs w:val="24"/>
                <w:lang w:eastAsia="bg-BG"/>
              </w:rPr>
              <w:t>Общо регистрирани</w:t>
            </w:r>
            <w:r w:rsidR="00A30F8C" w:rsidRPr="00A30F8C">
              <w:rPr>
                <w:rFonts w:ascii="Times New Roman" w:hAnsi="Times New Roman"/>
                <w:bCs w:val="0"/>
                <w:sz w:val="24"/>
                <w:szCs w:val="24"/>
                <w:lang w:eastAsia="bg-BG"/>
              </w:rPr>
              <w:t xml:space="preserve"> ПС</w:t>
            </w:r>
          </w:p>
        </w:tc>
        <w:tc>
          <w:tcPr>
            <w:tcW w:w="2266" w:type="dxa"/>
          </w:tcPr>
          <w:p w14:paraId="4DA57FDA" w14:textId="77777777" w:rsidR="00B826DB" w:rsidRPr="00A30F8C" w:rsidRDefault="00B826DB" w:rsidP="00A30F8C">
            <w:pPr>
              <w:autoSpaceDE w:val="0"/>
              <w:autoSpaceDN w:val="0"/>
              <w:adjustRightInd w:val="0"/>
              <w:spacing w:before="120" w:after="120"/>
              <w:jc w:val="center"/>
              <w:cnfStyle w:val="100000000000" w:firstRow="1" w:lastRow="0" w:firstColumn="0" w:lastColumn="0" w:oddVBand="0" w:evenVBand="0" w:oddHBand="0" w:evenHBand="0" w:firstRowFirstColumn="0" w:firstRowLastColumn="0" w:lastRowFirstColumn="0" w:lastRowLastColumn="0"/>
              <w:rPr>
                <w:rFonts w:ascii="Times New Roman" w:hAnsi="Times New Roman"/>
                <w:bCs w:val="0"/>
                <w:sz w:val="24"/>
                <w:szCs w:val="24"/>
                <w:lang w:eastAsia="bg-BG"/>
              </w:rPr>
            </w:pPr>
            <w:r w:rsidRPr="00A30F8C">
              <w:rPr>
                <w:rFonts w:ascii="Times New Roman" w:hAnsi="Times New Roman"/>
                <w:bCs w:val="0"/>
                <w:sz w:val="24"/>
                <w:szCs w:val="24"/>
                <w:lang w:eastAsia="bg-BG"/>
              </w:rPr>
              <w:t>% от общия брой</w:t>
            </w:r>
          </w:p>
        </w:tc>
      </w:tr>
      <w:tr w:rsidR="00082AA3" w:rsidRPr="00B826DB" w14:paraId="70373792" w14:textId="77777777" w:rsidTr="00A30F8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47" w:type="dxa"/>
          </w:tcPr>
          <w:p w14:paraId="3BC07CD4" w14:textId="7C32FFB7" w:rsidR="00082AA3" w:rsidRPr="00082AA3" w:rsidRDefault="00082AA3" w:rsidP="001220BD">
            <w:pPr>
              <w:autoSpaceDE w:val="0"/>
              <w:autoSpaceDN w:val="0"/>
              <w:adjustRightInd w:val="0"/>
              <w:spacing w:before="120" w:after="120"/>
              <w:rPr>
                <w:rFonts w:ascii="Times New Roman" w:hAnsi="Times New Roman"/>
                <w:sz w:val="24"/>
                <w:szCs w:val="24"/>
                <w:lang w:eastAsia="bg-BG"/>
              </w:rPr>
            </w:pPr>
            <w:r>
              <w:rPr>
                <w:rFonts w:ascii="Times New Roman" w:hAnsi="Times New Roman"/>
                <w:sz w:val="24"/>
                <w:szCs w:val="24"/>
                <w:lang w:eastAsia="bg-BG"/>
              </w:rPr>
              <w:t>Дву-, три- и четириколесни ПС</w:t>
            </w:r>
          </w:p>
        </w:tc>
        <w:tc>
          <w:tcPr>
            <w:tcW w:w="2265" w:type="dxa"/>
          </w:tcPr>
          <w:p w14:paraId="05EC3CD5" w14:textId="77777777" w:rsidR="005D280F" w:rsidRDefault="005D280F" w:rsidP="001220BD">
            <w:pPr>
              <w:autoSpaceDE w:val="0"/>
              <w:autoSpaceDN w:val="0"/>
              <w:adjustRightInd w:val="0"/>
              <w:spacing w:before="120" w:after="120"/>
              <w:jc w:val="right"/>
              <w:cnfStyle w:val="000000100000" w:firstRow="0" w:lastRow="0" w:firstColumn="0" w:lastColumn="0" w:oddVBand="0" w:evenVBand="0" w:oddHBand="1" w:evenHBand="0" w:firstRowFirstColumn="0" w:firstRowLastColumn="0" w:lastRowFirstColumn="0" w:lastRowLastColumn="0"/>
              <w:rPr>
                <w:rFonts w:ascii="Times New Roman" w:hAnsi="Times New Roman"/>
                <w:sz w:val="24"/>
                <w:szCs w:val="24"/>
              </w:rPr>
            </w:pPr>
          </w:p>
          <w:p w14:paraId="6281925A" w14:textId="0ADFB6CA" w:rsidR="00082AA3" w:rsidRPr="001220BD" w:rsidRDefault="00F578BE" w:rsidP="001220BD">
            <w:pPr>
              <w:autoSpaceDE w:val="0"/>
              <w:autoSpaceDN w:val="0"/>
              <w:adjustRightInd w:val="0"/>
              <w:spacing w:before="120" w:after="120"/>
              <w:jc w:val="right"/>
              <w:cnfStyle w:val="000000100000" w:firstRow="0" w:lastRow="0" w:firstColumn="0" w:lastColumn="0" w:oddVBand="0" w:evenVBand="0" w:oddHBand="1" w:evenHBand="0" w:firstRowFirstColumn="0" w:firstRowLastColumn="0" w:lastRowFirstColumn="0" w:lastRowLastColumn="0"/>
              <w:rPr>
                <w:rFonts w:ascii="Times New Roman" w:hAnsi="Times New Roman"/>
                <w:sz w:val="24"/>
                <w:szCs w:val="24"/>
                <w:lang w:val="en-US" w:eastAsia="bg-BG"/>
              </w:rPr>
            </w:pPr>
            <w:r>
              <w:rPr>
                <w:rFonts w:ascii="Times New Roman" w:hAnsi="Times New Roman"/>
                <w:sz w:val="24"/>
                <w:szCs w:val="24"/>
                <w:lang w:val="en-US"/>
              </w:rPr>
              <w:t>3 640</w:t>
            </w:r>
          </w:p>
        </w:tc>
        <w:tc>
          <w:tcPr>
            <w:tcW w:w="2266" w:type="dxa"/>
          </w:tcPr>
          <w:p w14:paraId="3F6C48D4" w14:textId="77777777" w:rsidR="005D280F" w:rsidRDefault="005D280F" w:rsidP="001220BD">
            <w:pPr>
              <w:autoSpaceDE w:val="0"/>
              <w:autoSpaceDN w:val="0"/>
              <w:adjustRightInd w:val="0"/>
              <w:spacing w:before="120" w:after="120"/>
              <w:jc w:val="right"/>
              <w:cnfStyle w:val="000000100000" w:firstRow="0" w:lastRow="0" w:firstColumn="0" w:lastColumn="0" w:oddVBand="0" w:evenVBand="0" w:oddHBand="1" w:evenHBand="0" w:firstRowFirstColumn="0" w:firstRowLastColumn="0" w:lastRowFirstColumn="0" w:lastRowLastColumn="0"/>
              <w:rPr>
                <w:rFonts w:ascii="Times New Roman" w:hAnsi="Times New Roman"/>
                <w:sz w:val="24"/>
                <w:szCs w:val="24"/>
              </w:rPr>
            </w:pPr>
          </w:p>
          <w:p w14:paraId="1FD86F86" w14:textId="7720BE51" w:rsidR="00082AA3" w:rsidRPr="005D280F" w:rsidRDefault="00F578BE" w:rsidP="001220BD">
            <w:pPr>
              <w:autoSpaceDE w:val="0"/>
              <w:autoSpaceDN w:val="0"/>
              <w:adjustRightInd w:val="0"/>
              <w:spacing w:before="120" w:after="120"/>
              <w:jc w:val="right"/>
              <w:cnfStyle w:val="000000100000" w:firstRow="0" w:lastRow="0" w:firstColumn="0" w:lastColumn="0" w:oddVBand="0" w:evenVBand="0" w:oddHBand="1" w:evenHBand="0" w:firstRowFirstColumn="0" w:firstRowLastColumn="0" w:lastRowFirstColumn="0" w:lastRowLastColumn="0"/>
              <w:rPr>
                <w:rFonts w:ascii="Times New Roman" w:hAnsi="Times New Roman"/>
                <w:sz w:val="24"/>
                <w:szCs w:val="24"/>
                <w:lang w:eastAsia="bg-BG"/>
              </w:rPr>
            </w:pPr>
            <w:r w:rsidRPr="00F578BE">
              <w:rPr>
                <w:rFonts w:ascii="Times New Roman" w:hAnsi="Times New Roman"/>
                <w:sz w:val="24"/>
                <w:szCs w:val="24"/>
              </w:rPr>
              <w:t>261</w:t>
            </w:r>
            <w:r>
              <w:rPr>
                <w:rFonts w:ascii="Times New Roman" w:hAnsi="Times New Roman"/>
                <w:sz w:val="24"/>
                <w:szCs w:val="24"/>
                <w:lang w:val="en-US"/>
              </w:rPr>
              <w:t> </w:t>
            </w:r>
            <w:r w:rsidRPr="00F578BE">
              <w:rPr>
                <w:rFonts w:ascii="Times New Roman" w:hAnsi="Times New Roman"/>
                <w:sz w:val="24"/>
                <w:szCs w:val="24"/>
              </w:rPr>
              <w:t>854</w:t>
            </w:r>
          </w:p>
        </w:tc>
        <w:tc>
          <w:tcPr>
            <w:tcW w:w="2266" w:type="dxa"/>
          </w:tcPr>
          <w:p w14:paraId="26095083" w14:textId="77777777" w:rsidR="00F578BE" w:rsidRDefault="00F578BE" w:rsidP="001220BD">
            <w:pPr>
              <w:autoSpaceDE w:val="0"/>
              <w:autoSpaceDN w:val="0"/>
              <w:adjustRightInd w:val="0"/>
              <w:spacing w:before="120" w:after="120"/>
              <w:jc w:val="right"/>
              <w:cnfStyle w:val="000000100000" w:firstRow="0" w:lastRow="0" w:firstColumn="0" w:lastColumn="0" w:oddVBand="0" w:evenVBand="0" w:oddHBand="1" w:evenHBand="0" w:firstRowFirstColumn="0" w:firstRowLastColumn="0" w:lastRowFirstColumn="0" w:lastRowLastColumn="0"/>
              <w:rPr>
                <w:rFonts w:ascii="Times New Roman" w:hAnsi="Times New Roman"/>
                <w:sz w:val="24"/>
                <w:szCs w:val="24"/>
                <w:lang w:val="en-US"/>
              </w:rPr>
            </w:pPr>
          </w:p>
          <w:p w14:paraId="4D3B1F93" w14:textId="4E627B78" w:rsidR="00082AA3" w:rsidRPr="001220BD" w:rsidRDefault="00F578BE" w:rsidP="001220BD">
            <w:pPr>
              <w:autoSpaceDE w:val="0"/>
              <w:autoSpaceDN w:val="0"/>
              <w:adjustRightInd w:val="0"/>
              <w:spacing w:before="120" w:after="120"/>
              <w:jc w:val="right"/>
              <w:cnfStyle w:val="000000100000" w:firstRow="0" w:lastRow="0" w:firstColumn="0" w:lastColumn="0" w:oddVBand="0" w:evenVBand="0" w:oddHBand="1" w:evenHBand="0" w:firstRowFirstColumn="0" w:firstRowLastColumn="0" w:lastRowFirstColumn="0" w:lastRowLastColumn="0"/>
              <w:rPr>
                <w:rFonts w:ascii="Times New Roman" w:hAnsi="Times New Roman"/>
                <w:sz w:val="24"/>
                <w:szCs w:val="24"/>
                <w:lang w:val="en-US" w:eastAsia="bg-BG"/>
              </w:rPr>
            </w:pPr>
            <w:r>
              <w:rPr>
                <w:rFonts w:ascii="Times New Roman" w:hAnsi="Times New Roman"/>
                <w:sz w:val="24"/>
                <w:szCs w:val="24"/>
                <w:lang w:val="en-US"/>
              </w:rPr>
              <w:t>1.4</w:t>
            </w:r>
          </w:p>
        </w:tc>
      </w:tr>
      <w:tr w:rsidR="00C13D9D" w:rsidRPr="00B826DB" w14:paraId="1F6C5B22" w14:textId="77777777" w:rsidTr="00A30F8C">
        <w:trPr>
          <w:trHeight w:val="516"/>
        </w:trPr>
        <w:tc>
          <w:tcPr>
            <w:cnfStyle w:val="001000000000" w:firstRow="0" w:lastRow="0" w:firstColumn="1" w:lastColumn="0" w:oddVBand="0" w:evenVBand="0" w:oddHBand="0" w:evenHBand="0" w:firstRowFirstColumn="0" w:firstRowLastColumn="0" w:lastRowFirstColumn="0" w:lastRowLastColumn="0"/>
            <w:tcW w:w="2547" w:type="dxa"/>
          </w:tcPr>
          <w:p w14:paraId="24200666" w14:textId="77777777" w:rsidR="00C13D9D" w:rsidRPr="00B826DB" w:rsidRDefault="00C13D9D" w:rsidP="00C13D9D">
            <w:pPr>
              <w:autoSpaceDE w:val="0"/>
              <w:autoSpaceDN w:val="0"/>
              <w:adjustRightInd w:val="0"/>
              <w:spacing w:before="120" w:after="120"/>
              <w:jc w:val="both"/>
              <w:rPr>
                <w:rFonts w:ascii="Times New Roman" w:hAnsi="Times New Roman"/>
                <w:b w:val="0"/>
                <w:bCs w:val="0"/>
                <w:sz w:val="24"/>
                <w:szCs w:val="24"/>
                <w:lang w:eastAsia="bg-BG"/>
              </w:rPr>
            </w:pPr>
            <w:r w:rsidRPr="00B826DB">
              <w:rPr>
                <w:rFonts w:ascii="Times New Roman" w:hAnsi="Times New Roman"/>
                <w:b w:val="0"/>
                <w:bCs w:val="0"/>
                <w:sz w:val="24"/>
                <w:szCs w:val="24"/>
                <w:lang w:eastAsia="bg-BG"/>
              </w:rPr>
              <w:t>Лек автомобил</w:t>
            </w:r>
          </w:p>
        </w:tc>
        <w:tc>
          <w:tcPr>
            <w:tcW w:w="2265" w:type="dxa"/>
          </w:tcPr>
          <w:p w14:paraId="7BA24055" w14:textId="13E99C83" w:rsidR="00C13D9D" w:rsidRPr="00082AA3" w:rsidRDefault="00F578BE" w:rsidP="00C13D9D">
            <w:pPr>
              <w:autoSpaceDE w:val="0"/>
              <w:autoSpaceDN w:val="0"/>
              <w:adjustRightInd w:val="0"/>
              <w:spacing w:before="120" w:after="120"/>
              <w:jc w:val="right"/>
              <w:cnfStyle w:val="000000000000" w:firstRow="0" w:lastRow="0" w:firstColumn="0" w:lastColumn="0" w:oddVBand="0" w:evenVBand="0" w:oddHBand="0" w:evenHBand="0" w:firstRowFirstColumn="0" w:firstRowLastColumn="0" w:lastRowFirstColumn="0" w:lastRowLastColumn="0"/>
              <w:rPr>
                <w:rFonts w:ascii="Times New Roman" w:hAnsi="Times New Roman"/>
                <w:bCs/>
                <w:sz w:val="24"/>
                <w:szCs w:val="24"/>
                <w:lang w:eastAsia="bg-BG"/>
              </w:rPr>
            </w:pPr>
            <w:r w:rsidRPr="00F578BE">
              <w:rPr>
                <w:rFonts w:ascii="Times New Roman" w:hAnsi="Times New Roman"/>
                <w:sz w:val="24"/>
                <w:szCs w:val="24"/>
              </w:rPr>
              <w:t>21</w:t>
            </w:r>
            <w:r>
              <w:rPr>
                <w:rFonts w:ascii="Times New Roman" w:hAnsi="Times New Roman"/>
                <w:sz w:val="24"/>
                <w:szCs w:val="24"/>
                <w:lang w:val="en-US"/>
              </w:rPr>
              <w:t xml:space="preserve"> </w:t>
            </w:r>
            <w:r w:rsidRPr="00F578BE">
              <w:rPr>
                <w:rFonts w:ascii="Times New Roman" w:hAnsi="Times New Roman"/>
                <w:sz w:val="24"/>
                <w:szCs w:val="24"/>
              </w:rPr>
              <w:t>682</w:t>
            </w:r>
          </w:p>
        </w:tc>
        <w:tc>
          <w:tcPr>
            <w:tcW w:w="2266" w:type="dxa"/>
          </w:tcPr>
          <w:p w14:paraId="1A8AEF72" w14:textId="04260E08" w:rsidR="00C13D9D" w:rsidRPr="00082AA3" w:rsidRDefault="00F578BE" w:rsidP="00C13D9D">
            <w:pPr>
              <w:autoSpaceDE w:val="0"/>
              <w:autoSpaceDN w:val="0"/>
              <w:adjustRightInd w:val="0"/>
              <w:spacing w:before="120" w:after="120"/>
              <w:jc w:val="right"/>
              <w:cnfStyle w:val="000000000000" w:firstRow="0" w:lastRow="0" w:firstColumn="0" w:lastColumn="0" w:oddVBand="0" w:evenVBand="0" w:oddHBand="0" w:evenHBand="0" w:firstRowFirstColumn="0" w:firstRowLastColumn="0" w:lastRowFirstColumn="0" w:lastRowLastColumn="0"/>
              <w:rPr>
                <w:rFonts w:ascii="Times New Roman" w:hAnsi="Times New Roman"/>
                <w:bCs/>
                <w:sz w:val="24"/>
                <w:szCs w:val="24"/>
                <w:lang w:eastAsia="bg-BG"/>
              </w:rPr>
            </w:pPr>
            <w:r w:rsidRPr="00F578BE">
              <w:rPr>
                <w:rFonts w:ascii="Times New Roman" w:hAnsi="Times New Roman"/>
                <w:sz w:val="24"/>
                <w:szCs w:val="24"/>
              </w:rPr>
              <w:t>3</w:t>
            </w:r>
            <w:r>
              <w:rPr>
                <w:rFonts w:ascii="Times New Roman" w:hAnsi="Times New Roman"/>
                <w:sz w:val="24"/>
                <w:szCs w:val="24"/>
                <w:lang w:val="en-US"/>
              </w:rPr>
              <w:t> </w:t>
            </w:r>
            <w:r w:rsidRPr="00F578BE">
              <w:rPr>
                <w:rFonts w:ascii="Times New Roman" w:hAnsi="Times New Roman"/>
                <w:sz w:val="24"/>
                <w:szCs w:val="24"/>
              </w:rPr>
              <w:t>193</w:t>
            </w:r>
            <w:r>
              <w:rPr>
                <w:rFonts w:ascii="Times New Roman" w:hAnsi="Times New Roman"/>
                <w:sz w:val="24"/>
                <w:szCs w:val="24"/>
                <w:lang w:val="en-US"/>
              </w:rPr>
              <w:t xml:space="preserve"> </w:t>
            </w:r>
            <w:r w:rsidRPr="00F578BE">
              <w:rPr>
                <w:rFonts w:ascii="Times New Roman" w:hAnsi="Times New Roman"/>
                <w:sz w:val="24"/>
                <w:szCs w:val="24"/>
              </w:rPr>
              <w:t>714</w:t>
            </w:r>
          </w:p>
        </w:tc>
        <w:tc>
          <w:tcPr>
            <w:tcW w:w="2266" w:type="dxa"/>
          </w:tcPr>
          <w:p w14:paraId="5F10B7E9" w14:textId="42F50479" w:rsidR="00C13D9D" w:rsidRPr="00082AA3" w:rsidRDefault="00C13D9D" w:rsidP="00F578BE">
            <w:pPr>
              <w:autoSpaceDE w:val="0"/>
              <w:autoSpaceDN w:val="0"/>
              <w:adjustRightInd w:val="0"/>
              <w:spacing w:before="120" w:after="120"/>
              <w:jc w:val="right"/>
              <w:cnfStyle w:val="000000000000" w:firstRow="0" w:lastRow="0" w:firstColumn="0" w:lastColumn="0" w:oddVBand="0" w:evenVBand="0" w:oddHBand="0" w:evenHBand="0" w:firstRowFirstColumn="0" w:firstRowLastColumn="0" w:lastRowFirstColumn="0" w:lastRowLastColumn="0"/>
              <w:rPr>
                <w:rFonts w:ascii="Times New Roman" w:hAnsi="Times New Roman"/>
                <w:bCs/>
                <w:sz w:val="24"/>
                <w:szCs w:val="24"/>
                <w:lang w:eastAsia="bg-BG"/>
              </w:rPr>
            </w:pPr>
            <w:r w:rsidRPr="001220BD">
              <w:rPr>
                <w:rFonts w:ascii="Times New Roman" w:hAnsi="Times New Roman"/>
                <w:sz w:val="24"/>
                <w:szCs w:val="24"/>
              </w:rPr>
              <w:t>0,</w:t>
            </w:r>
            <w:r w:rsidR="00F578BE">
              <w:rPr>
                <w:rFonts w:ascii="Times New Roman" w:hAnsi="Times New Roman"/>
                <w:sz w:val="24"/>
                <w:szCs w:val="24"/>
                <w:lang w:val="en-US"/>
              </w:rPr>
              <w:t>7</w:t>
            </w:r>
          </w:p>
        </w:tc>
      </w:tr>
      <w:tr w:rsidR="00C13D9D" w:rsidRPr="00B826DB" w14:paraId="70E03B47" w14:textId="77777777" w:rsidTr="00A30F8C">
        <w:trPr>
          <w:cnfStyle w:val="000000100000" w:firstRow="0" w:lastRow="0" w:firstColumn="0" w:lastColumn="0" w:oddVBand="0" w:evenVBand="0" w:oddHBand="1" w:evenHBand="0" w:firstRowFirstColumn="0" w:firstRowLastColumn="0" w:lastRowFirstColumn="0" w:lastRowLastColumn="0"/>
          <w:trHeight w:val="516"/>
        </w:trPr>
        <w:tc>
          <w:tcPr>
            <w:cnfStyle w:val="001000000000" w:firstRow="0" w:lastRow="0" w:firstColumn="1" w:lastColumn="0" w:oddVBand="0" w:evenVBand="0" w:oddHBand="0" w:evenHBand="0" w:firstRowFirstColumn="0" w:firstRowLastColumn="0" w:lastRowFirstColumn="0" w:lastRowLastColumn="0"/>
            <w:tcW w:w="2547" w:type="dxa"/>
          </w:tcPr>
          <w:p w14:paraId="1AF0FA00" w14:textId="77777777" w:rsidR="00C13D9D" w:rsidRPr="00B826DB" w:rsidRDefault="00C13D9D" w:rsidP="00C13D9D">
            <w:pPr>
              <w:autoSpaceDE w:val="0"/>
              <w:autoSpaceDN w:val="0"/>
              <w:adjustRightInd w:val="0"/>
              <w:spacing w:before="120" w:after="120"/>
              <w:jc w:val="both"/>
              <w:rPr>
                <w:rFonts w:ascii="Times New Roman" w:hAnsi="Times New Roman"/>
                <w:b w:val="0"/>
                <w:bCs w:val="0"/>
                <w:sz w:val="24"/>
                <w:szCs w:val="24"/>
                <w:lang w:eastAsia="bg-BG"/>
              </w:rPr>
            </w:pPr>
            <w:r w:rsidRPr="00B826DB">
              <w:rPr>
                <w:rFonts w:ascii="Times New Roman" w:hAnsi="Times New Roman"/>
                <w:b w:val="0"/>
                <w:bCs w:val="0"/>
                <w:sz w:val="24"/>
                <w:szCs w:val="24"/>
                <w:lang w:eastAsia="bg-BG"/>
              </w:rPr>
              <w:lastRenderedPageBreak/>
              <w:t>Товарен автомобил</w:t>
            </w:r>
          </w:p>
        </w:tc>
        <w:tc>
          <w:tcPr>
            <w:tcW w:w="2265" w:type="dxa"/>
          </w:tcPr>
          <w:p w14:paraId="29B392E4" w14:textId="4CB97F4E" w:rsidR="00C13D9D" w:rsidRPr="001220BD" w:rsidRDefault="00F578BE" w:rsidP="00C13D9D">
            <w:pPr>
              <w:autoSpaceDE w:val="0"/>
              <w:autoSpaceDN w:val="0"/>
              <w:adjustRightInd w:val="0"/>
              <w:spacing w:before="120" w:after="120"/>
              <w:jc w:val="right"/>
              <w:cnfStyle w:val="000000100000" w:firstRow="0" w:lastRow="0" w:firstColumn="0" w:lastColumn="0" w:oddVBand="0" w:evenVBand="0" w:oddHBand="1" w:evenHBand="0" w:firstRowFirstColumn="0" w:firstRowLastColumn="0" w:lastRowFirstColumn="0" w:lastRowLastColumn="0"/>
              <w:rPr>
                <w:rFonts w:ascii="Times New Roman" w:hAnsi="Times New Roman"/>
                <w:bCs/>
                <w:sz w:val="24"/>
                <w:szCs w:val="24"/>
                <w:lang w:val="en-US" w:eastAsia="bg-BG"/>
              </w:rPr>
            </w:pPr>
            <w:r>
              <w:rPr>
                <w:rFonts w:ascii="Times New Roman" w:hAnsi="Times New Roman"/>
                <w:sz w:val="24"/>
                <w:szCs w:val="24"/>
                <w:lang w:val="en-US"/>
              </w:rPr>
              <w:t>1 024</w:t>
            </w:r>
          </w:p>
        </w:tc>
        <w:tc>
          <w:tcPr>
            <w:tcW w:w="2266" w:type="dxa"/>
          </w:tcPr>
          <w:p w14:paraId="6916F3D7" w14:textId="0355BC04" w:rsidR="00C13D9D" w:rsidRPr="00082AA3" w:rsidRDefault="00F578BE" w:rsidP="00C13D9D">
            <w:pPr>
              <w:autoSpaceDE w:val="0"/>
              <w:autoSpaceDN w:val="0"/>
              <w:adjustRightInd w:val="0"/>
              <w:spacing w:before="120" w:after="120"/>
              <w:jc w:val="right"/>
              <w:cnfStyle w:val="000000100000" w:firstRow="0" w:lastRow="0" w:firstColumn="0" w:lastColumn="0" w:oddVBand="0" w:evenVBand="0" w:oddHBand="1" w:evenHBand="0" w:firstRowFirstColumn="0" w:firstRowLastColumn="0" w:lastRowFirstColumn="0" w:lastRowLastColumn="0"/>
              <w:rPr>
                <w:rFonts w:ascii="Times New Roman" w:hAnsi="Times New Roman"/>
                <w:bCs/>
                <w:sz w:val="24"/>
                <w:szCs w:val="24"/>
                <w:lang w:eastAsia="bg-BG"/>
              </w:rPr>
            </w:pPr>
            <w:r w:rsidRPr="00F578BE">
              <w:rPr>
                <w:rFonts w:ascii="Times New Roman" w:hAnsi="Times New Roman"/>
                <w:sz w:val="24"/>
                <w:szCs w:val="24"/>
              </w:rPr>
              <w:t>467</w:t>
            </w:r>
            <w:r>
              <w:rPr>
                <w:rFonts w:ascii="Times New Roman" w:hAnsi="Times New Roman"/>
                <w:sz w:val="24"/>
                <w:szCs w:val="24"/>
                <w:lang w:val="en-US"/>
              </w:rPr>
              <w:t xml:space="preserve"> </w:t>
            </w:r>
            <w:r w:rsidRPr="00F578BE">
              <w:rPr>
                <w:rFonts w:ascii="Times New Roman" w:hAnsi="Times New Roman"/>
                <w:sz w:val="24"/>
                <w:szCs w:val="24"/>
              </w:rPr>
              <w:t>664</w:t>
            </w:r>
          </w:p>
        </w:tc>
        <w:tc>
          <w:tcPr>
            <w:tcW w:w="2266" w:type="dxa"/>
          </w:tcPr>
          <w:p w14:paraId="30957618" w14:textId="0B1A8F6B" w:rsidR="00C13D9D" w:rsidRPr="00082AA3" w:rsidRDefault="00C13D9D" w:rsidP="00C13D9D">
            <w:pPr>
              <w:autoSpaceDE w:val="0"/>
              <w:autoSpaceDN w:val="0"/>
              <w:adjustRightInd w:val="0"/>
              <w:spacing w:before="120" w:after="120"/>
              <w:jc w:val="right"/>
              <w:cnfStyle w:val="000000100000" w:firstRow="0" w:lastRow="0" w:firstColumn="0" w:lastColumn="0" w:oddVBand="0" w:evenVBand="0" w:oddHBand="1" w:evenHBand="0" w:firstRowFirstColumn="0" w:firstRowLastColumn="0" w:lastRowFirstColumn="0" w:lastRowLastColumn="0"/>
              <w:rPr>
                <w:rFonts w:ascii="Times New Roman" w:hAnsi="Times New Roman"/>
                <w:bCs/>
                <w:sz w:val="24"/>
                <w:szCs w:val="24"/>
                <w:lang w:eastAsia="bg-BG"/>
              </w:rPr>
            </w:pPr>
            <w:r w:rsidRPr="001220BD">
              <w:rPr>
                <w:rFonts w:ascii="Times New Roman" w:hAnsi="Times New Roman"/>
                <w:sz w:val="24"/>
                <w:szCs w:val="24"/>
              </w:rPr>
              <w:t>0,2</w:t>
            </w:r>
          </w:p>
        </w:tc>
      </w:tr>
      <w:tr w:rsidR="00C13D9D" w:rsidRPr="00B826DB" w14:paraId="5D87F45E" w14:textId="77777777" w:rsidTr="00A30F8C">
        <w:trPr>
          <w:trHeight w:val="516"/>
        </w:trPr>
        <w:tc>
          <w:tcPr>
            <w:cnfStyle w:val="001000000000" w:firstRow="0" w:lastRow="0" w:firstColumn="1" w:lastColumn="0" w:oddVBand="0" w:evenVBand="0" w:oddHBand="0" w:evenHBand="0" w:firstRowFirstColumn="0" w:firstRowLastColumn="0" w:lastRowFirstColumn="0" w:lastRowLastColumn="0"/>
            <w:tcW w:w="2547" w:type="dxa"/>
          </w:tcPr>
          <w:p w14:paraId="654EF459" w14:textId="77777777" w:rsidR="00C13D9D" w:rsidRPr="00B826DB" w:rsidRDefault="00C13D9D" w:rsidP="00C13D9D">
            <w:pPr>
              <w:autoSpaceDE w:val="0"/>
              <w:autoSpaceDN w:val="0"/>
              <w:adjustRightInd w:val="0"/>
              <w:spacing w:before="120" w:after="120"/>
              <w:jc w:val="both"/>
              <w:rPr>
                <w:rFonts w:ascii="Times New Roman" w:hAnsi="Times New Roman"/>
                <w:b w:val="0"/>
                <w:bCs w:val="0"/>
                <w:sz w:val="24"/>
                <w:szCs w:val="24"/>
                <w:lang w:eastAsia="bg-BG"/>
              </w:rPr>
            </w:pPr>
            <w:r w:rsidRPr="00B826DB">
              <w:rPr>
                <w:rFonts w:ascii="Times New Roman" w:hAnsi="Times New Roman"/>
                <w:b w:val="0"/>
                <w:bCs w:val="0"/>
                <w:sz w:val="24"/>
                <w:szCs w:val="24"/>
                <w:lang w:eastAsia="bg-BG"/>
              </w:rPr>
              <w:t>Специален автомобил</w:t>
            </w:r>
          </w:p>
        </w:tc>
        <w:tc>
          <w:tcPr>
            <w:tcW w:w="2265" w:type="dxa"/>
          </w:tcPr>
          <w:p w14:paraId="2100E75B" w14:textId="14FCA48F" w:rsidR="00C13D9D" w:rsidRPr="001220BD" w:rsidRDefault="00F578BE" w:rsidP="00C13D9D">
            <w:pPr>
              <w:autoSpaceDE w:val="0"/>
              <w:autoSpaceDN w:val="0"/>
              <w:adjustRightInd w:val="0"/>
              <w:spacing w:before="120" w:after="120"/>
              <w:jc w:val="right"/>
              <w:cnfStyle w:val="000000000000" w:firstRow="0" w:lastRow="0" w:firstColumn="0" w:lastColumn="0" w:oddVBand="0" w:evenVBand="0" w:oddHBand="0" w:evenHBand="0" w:firstRowFirstColumn="0" w:firstRowLastColumn="0" w:lastRowFirstColumn="0" w:lastRowLastColumn="0"/>
              <w:rPr>
                <w:rFonts w:ascii="Times New Roman" w:hAnsi="Times New Roman"/>
                <w:bCs/>
                <w:sz w:val="24"/>
                <w:szCs w:val="24"/>
                <w:lang w:val="en-US" w:eastAsia="bg-BG"/>
              </w:rPr>
            </w:pPr>
            <w:r>
              <w:rPr>
                <w:rFonts w:ascii="Times New Roman" w:hAnsi="Times New Roman"/>
                <w:sz w:val="24"/>
                <w:szCs w:val="24"/>
                <w:lang w:val="en-US"/>
              </w:rPr>
              <w:t>1</w:t>
            </w:r>
          </w:p>
        </w:tc>
        <w:tc>
          <w:tcPr>
            <w:tcW w:w="2266" w:type="dxa"/>
          </w:tcPr>
          <w:p w14:paraId="3AB84C8D" w14:textId="3B41CDA1" w:rsidR="00C13D9D" w:rsidRPr="00082AA3" w:rsidRDefault="00F578BE" w:rsidP="00C13D9D">
            <w:pPr>
              <w:autoSpaceDE w:val="0"/>
              <w:autoSpaceDN w:val="0"/>
              <w:adjustRightInd w:val="0"/>
              <w:spacing w:before="120" w:after="120"/>
              <w:jc w:val="right"/>
              <w:cnfStyle w:val="000000000000" w:firstRow="0" w:lastRow="0" w:firstColumn="0" w:lastColumn="0" w:oddVBand="0" w:evenVBand="0" w:oddHBand="0" w:evenHBand="0" w:firstRowFirstColumn="0" w:firstRowLastColumn="0" w:lastRowFirstColumn="0" w:lastRowLastColumn="0"/>
              <w:rPr>
                <w:rFonts w:ascii="Times New Roman" w:hAnsi="Times New Roman"/>
                <w:bCs/>
                <w:sz w:val="24"/>
                <w:szCs w:val="24"/>
                <w:lang w:eastAsia="bg-BG"/>
              </w:rPr>
            </w:pPr>
            <w:r w:rsidRPr="00F578BE">
              <w:rPr>
                <w:rFonts w:ascii="Times New Roman" w:hAnsi="Times New Roman"/>
                <w:sz w:val="24"/>
                <w:szCs w:val="24"/>
              </w:rPr>
              <w:t>49</w:t>
            </w:r>
            <w:r>
              <w:rPr>
                <w:rFonts w:ascii="Times New Roman" w:hAnsi="Times New Roman"/>
                <w:sz w:val="24"/>
                <w:szCs w:val="24"/>
                <w:lang w:val="en-US"/>
              </w:rPr>
              <w:t xml:space="preserve"> </w:t>
            </w:r>
            <w:r w:rsidRPr="00F578BE">
              <w:rPr>
                <w:rFonts w:ascii="Times New Roman" w:hAnsi="Times New Roman"/>
                <w:sz w:val="24"/>
                <w:szCs w:val="24"/>
              </w:rPr>
              <w:t>846</w:t>
            </w:r>
          </w:p>
        </w:tc>
        <w:tc>
          <w:tcPr>
            <w:tcW w:w="2266" w:type="dxa"/>
          </w:tcPr>
          <w:p w14:paraId="4B5D836E" w14:textId="667A5E7F" w:rsidR="00C13D9D" w:rsidRPr="00082AA3" w:rsidRDefault="00C13D9D" w:rsidP="00C13D9D">
            <w:pPr>
              <w:autoSpaceDE w:val="0"/>
              <w:autoSpaceDN w:val="0"/>
              <w:adjustRightInd w:val="0"/>
              <w:spacing w:before="120" w:after="120"/>
              <w:jc w:val="right"/>
              <w:cnfStyle w:val="000000000000" w:firstRow="0" w:lastRow="0" w:firstColumn="0" w:lastColumn="0" w:oddVBand="0" w:evenVBand="0" w:oddHBand="0" w:evenHBand="0" w:firstRowFirstColumn="0" w:firstRowLastColumn="0" w:lastRowFirstColumn="0" w:lastRowLastColumn="0"/>
              <w:rPr>
                <w:rFonts w:ascii="Times New Roman" w:hAnsi="Times New Roman"/>
                <w:bCs/>
                <w:sz w:val="24"/>
                <w:szCs w:val="24"/>
                <w:lang w:eastAsia="bg-BG"/>
              </w:rPr>
            </w:pPr>
            <w:r w:rsidRPr="001220BD">
              <w:rPr>
                <w:rFonts w:ascii="Times New Roman" w:hAnsi="Times New Roman"/>
                <w:sz w:val="24"/>
                <w:szCs w:val="24"/>
              </w:rPr>
              <w:t>0</w:t>
            </w:r>
            <w:r w:rsidR="00F578BE">
              <w:rPr>
                <w:rFonts w:ascii="Times New Roman" w:hAnsi="Times New Roman"/>
                <w:sz w:val="24"/>
                <w:szCs w:val="24"/>
                <w:lang w:val="en-US"/>
              </w:rPr>
              <w:t>.0</w:t>
            </w:r>
          </w:p>
        </w:tc>
      </w:tr>
      <w:tr w:rsidR="00C13D9D" w:rsidRPr="00B826DB" w14:paraId="56C72057" w14:textId="77777777" w:rsidTr="00A30F8C">
        <w:trPr>
          <w:cnfStyle w:val="000000100000" w:firstRow="0" w:lastRow="0" w:firstColumn="0" w:lastColumn="0" w:oddVBand="0" w:evenVBand="0" w:oddHBand="1" w:evenHBand="0" w:firstRowFirstColumn="0" w:firstRowLastColumn="0" w:lastRowFirstColumn="0" w:lastRowLastColumn="0"/>
          <w:trHeight w:val="516"/>
        </w:trPr>
        <w:tc>
          <w:tcPr>
            <w:cnfStyle w:val="001000000000" w:firstRow="0" w:lastRow="0" w:firstColumn="1" w:lastColumn="0" w:oddVBand="0" w:evenVBand="0" w:oddHBand="0" w:evenHBand="0" w:firstRowFirstColumn="0" w:firstRowLastColumn="0" w:lastRowFirstColumn="0" w:lastRowLastColumn="0"/>
            <w:tcW w:w="2547" w:type="dxa"/>
          </w:tcPr>
          <w:p w14:paraId="43B69915" w14:textId="77777777" w:rsidR="00C13D9D" w:rsidRPr="00B826DB" w:rsidRDefault="00C13D9D" w:rsidP="00C13D9D">
            <w:pPr>
              <w:autoSpaceDE w:val="0"/>
              <w:autoSpaceDN w:val="0"/>
              <w:adjustRightInd w:val="0"/>
              <w:spacing w:before="120" w:after="120"/>
              <w:jc w:val="both"/>
              <w:rPr>
                <w:rFonts w:ascii="Times New Roman" w:hAnsi="Times New Roman"/>
                <w:b w:val="0"/>
                <w:bCs w:val="0"/>
                <w:sz w:val="24"/>
                <w:szCs w:val="24"/>
                <w:lang w:eastAsia="bg-BG"/>
              </w:rPr>
            </w:pPr>
            <w:r w:rsidRPr="00B826DB">
              <w:rPr>
                <w:rFonts w:ascii="Times New Roman" w:hAnsi="Times New Roman"/>
                <w:b w:val="0"/>
                <w:bCs w:val="0"/>
                <w:sz w:val="24"/>
                <w:szCs w:val="24"/>
                <w:lang w:eastAsia="bg-BG"/>
              </w:rPr>
              <w:t>Влекач</w:t>
            </w:r>
          </w:p>
        </w:tc>
        <w:tc>
          <w:tcPr>
            <w:tcW w:w="2265" w:type="dxa"/>
          </w:tcPr>
          <w:p w14:paraId="4F1B99CA" w14:textId="7F881323" w:rsidR="00C13D9D" w:rsidRPr="00723346" w:rsidRDefault="00C13D9D" w:rsidP="00C13D9D">
            <w:pPr>
              <w:autoSpaceDE w:val="0"/>
              <w:autoSpaceDN w:val="0"/>
              <w:adjustRightInd w:val="0"/>
              <w:spacing w:before="120" w:after="120"/>
              <w:jc w:val="right"/>
              <w:cnfStyle w:val="000000100000" w:firstRow="0" w:lastRow="0" w:firstColumn="0" w:lastColumn="0" w:oddVBand="0" w:evenVBand="0" w:oddHBand="1" w:evenHBand="0" w:firstRowFirstColumn="0" w:firstRowLastColumn="0" w:lastRowFirstColumn="0" w:lastRowLastColumn="0"/>
              <w:rPr>
                <w:rFonts w:ascii="Times New Roman" w:hAnsi="Times New Roman"/>
                <w:bCs/>
                <w:sz w:val="24"/>
                <w:szCs w:val="24"/>
                <w:lang w:eastAsia="bg-BG"/>
              </w:rPr>
            </w:pPr>
            <w:r w:rsidRPr="00723346">
              <w:rPr>
                <w:rFonts w:ascii="Times New Roman" w:hAnsi="Times New Roman"/>
                <w:sz w:val="24"/>
                <w:szCs w:val="24"/>
              </w:rPr>
              <w:t>0</w:t>
            </w:r>
          </w:p>
        </w:tc>
        <w:tc>
          <w:tcPr>
            <w:tcW w:w="2266" w:type="dxa"/>
          </w:tcPr>
          <w:p w14:paraId="70E7A815" w14:textId="2253203A" w:rsidR="00C13D9D" w:rsidRPr="00723346" w:rsidRDefault="00F578BE" w:rsidP="00C13D9D">
            <w:pPr>
              <w:autoSpaceDE w:val="0"/>
              <w:autoSpaceDN w:val="0"/>
              <w:adjustRightInd w:val="0"/>
              <w:spacing w:before="120" w:after="120"/>
              <w:jc w:val="right"/>
              <w:cnfStyle w:val="000000100000" w:firstRow="0" w:lastRow="0" w:firstColumn="0" w:lastColumn="0" w:oddVBand="0" w:evenVBand="0" w:oddHBand="1" w:evenHBand="0" w:firstRowFirstColumn="0" w:firstRowLastColumn="0" w:lastRowFirstColumn="0" w:lastRowLastColumn="0"/>
              <w:rPr>
                <w:rFonts w:ascii="Times New Roman" w:hAnsi="Times New Roman"/>
                <w:bCs/>
                <w:sz w:val="24"/>
                <w:szCs w:val="24"/>
                <w:lang w:eastAsia="bg-BG"/>
              </w:rPr>
            </w:pPr>
            <w:r w:rsidRPr="00F578BE">
              <w:rPr>
                <w:rFonts w:ascii="Times New Roman" w:hAnsi="Times New Roman"/>
                <w:sz w:val="24"/>
                <w:szCs w:val="24"/>
              </w:rPr>
              <w:t>51</w:t>
            </w:r>
            <w:r>
              <w:rPr>
                <w:rFonts w:ascii="Times New Roman" w:hAnsi="Times New Roman"/>
                <w:sz w:val="24"/>
                <w:szCs w:val="24"/>
                <w:lang w:val="en-US"/>
              </w:rPr>
              <w:t xml:space="preserve"> </w:t>
            </w:r>
            <w:r w:rsidRPr="00F578BE">
              <w:rPr>
                <w:rFonts w:ascii="Times New Roman" w:hAnsi="Times New Roman"/>
                <w:sz w:val="24"/>
                <w:szCs w:val="24"/>
              </w:rPr>
              <w:t>061</w:t>
            </w:r>
          </w:p>
        </w:tc>
        <w:tc>
          <w:tcPr>
            <w:tcW w:w="2266" w:type="dxa"/>
          </w:tcPr>
          <w:p w14:paraId="02281555" w14:textId="6A0803F2" w:rsidR="00C13D9D" w:rsidRPr="00723346" w:rsidRDefault="00C13D9D" w:rsidP="00C13D9D">
            <w:pPr>
              <w:autoSpaceDE w:val="0"/>
              <w:autoSpaceDN w:val="0"/>
              <w:adjustRightInd w:val="0"/>
              <w:spacing w:before="120" w:after="120"/>
              <w:jc w:val="right"/>
              <w:cnfStyle w:val="000000100000" w:firstRow="0" w:lastRow="0" w:firstColumn="0" w:lastColumn="0" w:oddVBand="0" w:evenVBand="0" w:oddHBand="1" w:evenHBand="0" w:firstRowFirstColumn="0" w:firstRowLastColumn="0" w:lastRowFirstColumn="0" w:lastRowLastColumn="0"/>
              <w:rPr>
                <w:rFonts w:ascii="Times New Roman" w:hAnsi="Times New Roman"/>
                <w:bCs/>
                <w:sz w:val="24"/>
                <w:szCs w:val="24"/>
                <w:lang w:eastAsia="bg-BG"/>
              </w:rPr>
            </w:pPr>
            <w:r w:rsidRPr="001220BD">
              <w:rPr>
                <w:rFonts w:ascii="Times New Roman" w:hAnsi="Times New Roman"/>
                <w:sz w:val="24"/>
                <w:szCs w:val="24"/>
              </w:rPr>
              <w:t>0</w:t>
            </w:r>
          </w:p>
        </w:tc>
      </w:tr>
      <w:tr w:rsidR="00723346" w:rsidRPr="00B826DB" w14:paraId="4FA84DCA" w14:textId="77777777" w:rsidTr="00A30F8C">
        <w:trPr>
          <w:trHeight w:val="516"/>
        </w:trPr>
        <w:tc>
          <w:tcPr>
            <w:cnfStyle w:val="001000000000" w:firstRow="0" w:lastRow="0" w:firstColumn="1" w:lastColumn="0" w:oddVBand="0" w:evenVBand="0" w:oddHBand="0" w:evenHBand="0" w:firstRowFirstColumn="0" w:firstRowLastColumn="0" w:lastRowFirstColumn="0" w:lastRowLastColumn="0"/>
            <w:tcW w:w="2547" w:type="dxa"/>
          </w:tcPr>
          <w:p w14:paraId="303087DE" w14:textId="77777777" w:rsidR="00723346" w:rsidRPr="00A30F8C" w:rsidRDefault="00723346" w:rsidP="00723346">
            <w:pPr>
              <w:autoSpaceDE w:val="0"/>
              <w:autoSpaceDN w:val="0"/>
              <w:adjustRightInd w:val="0"/>
              <w:spacing w:before="120" w:after="120"/>
              <w:jc w:val="both"/>
              <w:rPr>
                <w:rFonts w:ascii="Times New Roman" w:hAnsi="Times New Roman"/>
                <w:bCs w:val="0"/>
                <w:sz w:val="24"/>
                <w:szCs w:val="24"/>
                <w:lang w:eastAsia="bg-BG"/>
              </w:rPr>
            </w:pPr>
            <w:r w:rsidRPr="00A30F8C">
              <w:rPr>
                <w:rFonts w:ascii="Times New Roman" w:hAnsi="Times New Roman"/>
                <w:bCs w:val="0"/>
                <w:sz w:val="24"/>
                <w:szCs w:val="24"/>
                <w:lang w:eastAsia="bg-BG"/>
              </w:rPr>
              <w:t>Общо</w:t>
            </w:r>
          </w:p>
        </w:tc>
        <w:tc>
          <w:tcPr>
            <w:tcW w:w="2265" w:type="dxa"/>
          </w:tcPr>
          <w:p w14:paraId="50D92D75" w14:textId="508C4191" w:rsidR="00723346" w:rsidRPr="00723346" w:rsidRDefault="00F578BE" w:rsidP="00723346">
            <w:pPr>
              <w:autoSpaceDE w:val="0"/>
              <w:autoSpaceDN w:val="0"/>
              <w:adjustRightInd w:val="0"/>
              <w:spacing w:before="120" w:after="120"/>
              <w:jc w:val="right"/>
              <w:cnfStyle w:val="000000000000" w:firstRow="0" w:lastRow="0" w:firstColumn="0" w:lastColumn="0" w:oddVBand="0" w:evenVBand="0" w:oddHBand="0" w:evenHBand="0" w:firstRowFirstColumn="0" w:firstRowLastColumn="0" w:lastRowFirstColumn="0" w:lastRowLastColumn="0"/>
              <w:rPr>
                <w:rFonts w:ascii="Times New Roman" w:hAnsi="Times New Roman"/>
                <w:b/>
                <w:bCs/>
                <w:sz w:val="24"/>
                <w:szCs w:val="24"/>
                <w:lang w:eastAsia="bg-BG"/>
              </w:rPr>
            </w:pPr>
            <w:r>
              <w:rPr>
                <w:rFonts w:ascii="Times New Roman" w:hAnsi="Times New Roman"/>
                <w:sz w:val="24"/>
                <w:szCs w:val="24"/>
                <w:lang w:val="en-US"/>
              </w:rPr>
              <w:t>26 347</w:t>
            </w:r>
          </w:p>
        </w:tc>
        <w:tc>
          <w:tcPr>
            <w:tcW w:w="2266" w:type="dxa"/>
          </w:tcPr>
          <w:p w14:paraId="36B1CB3B" w14:textId="60E430B6" w:rsidR="00723346" w:rsidRPr="00723346" w:rsidRDefault="00723346" w:rsidP="00F578BE">
            <w:pPr>
              <w:autoSpaceDE w:val="0"/>
              <w:autoSpaceDN w:val="0"/>
              <w:adjustRightInd w:val="0"/>
              <w:spacing w:before="120" w:after="120"/>
              <w:jc w:val="right"/>
              <w:cnfStyle w:val="000000000000" w:firstRow="0" w:lastRow="0" w:firstColumn="0" w:lastColumn="0" w:oddVBand="0" w:evenVBand="0" w:oddHBand="0" w:evenHBand="0" w:firstRowFirstColumn="0" w:firstRowLastColumn="0" w:lastRowFirstColumn="0" w:lastRowLastColumn="0"/>
              <w:rPr>
                <w:rFonts w:ascii="Times New Roman" w:hAnsi="Times New Roman"/>
                <w:b/>
                <w:bCs/>
                <w:sz w:val="24"/>
                <w:szCs w:val="24"/>
                <w:lang w:eastAsia="bg-BG"/>
              </w:rPr>
            </w:pPr>
            <w:r w:rsidRPr="001220BD">
              <w:rPr>
                <w:rFonts w:ascii="Times New Roman" w:hAnsi="Times New Roman"/>
                <w:sz w:val="24"/>
                <w:szCs w:val="24"/>
              </w:rPr>
              <w:t>3 9</w:t>
            </w:r>
            <w:r w:rsidR="00F578BE">
              <w:rPr>
                <w:rFonts w:ascii="Times New Roman" w:hAnsi="Times New Roman"/>
                <w:sz w:val="24"/>
                <w:szCs w:val="24"/>
                <w:lang w:val="en-US"/>
              </w:rPr>
              <w:t>73</w:t>
            </w:r>
            <w:r w:rsidRPr="001220BD">
              <w:rPr>
                <w:rFonts w:ascii="Times New Roman" w:hAnsi="Times New Roman"/>
                <w:sz w:val="24"/>
                <w:szCs w:val="24"/>
              </w:rPr>
              <w:t xml:space="preserve"> </w:t>
            </w:r>
            <w:r w:rsidR="00F578BE">
              <w:rPr>
                <w:rFonts w:ascii="Times New Roman" w:hAnsi="Times New Roman"/>
                <w:sz w:val="24"/>
                <w:szCs w:val="24"/>
                <w:lang w:val="en-US"/>
              </w:rPr>
              <w:t>078</w:t>
            </w:r>
          </w:p>
        </w:tc>
        <w:tc>
          <w:tcPr>
            <w:tcW w:w="2266" w:type="dxa"/>
          </w:tcPr>
          <w:p w14:paraId="5DCE5539" w14:textId="2D2D9E0B" w:rsidR="00723346" w:rsidRPr="00723346" w:rsidRDefault="00723346" w:rsidP="00F578BE">
            <w:pPr>
              <w:autoSpaceDE w:val="0"/>
              <w:autoSpaceDN w:val="0"/>
              <w:adjustRightInd w:val="0"/>
              <w:spacing w:before="120" w:after="120"/>
              <w:jc w:val="right"/>
              <w:cnfStyle w:val="000000000000" w:firstRow="0" w:lastRow="0" w:firstColumn="0" w:lastColumn="0" w:oddVBand="0" w:evenVBand="0" w:oddHBand="0" w:evenHBand="0" w:firstRowFirstColumn="0" w:firstRowLastColumn="0" w:lastRowFirstColumn="0" w:lastRowLastColumn="0"/>
              <w:rPr>
                <w:rFonts w:ascii="Times New Roman" w:hAnsi="Times New Roman"/>
                <w:b/>
                <w:bCs/>
                <w:sz w:val="24"/>
                <w:szCs w:val="24"/>
                <w:lang w:eastAsia="bg-BG"/>
              </w:rPr>
            </w:pPr>
            <w:r w:rsidRPr="001220BD">
              <w:rPr>
                <w:rFonts w:ascii="Times New Roman" w:hAnsi="Times New Roman"/>
                <w:sz w:val="24"/>
                <w:szCs w:val="24"/>
              </w:rPr>
              <w:t>0,</w:t>
            </w:r>
            <w:r w:rsidR="00F578BE">
              <w:rPr>
                <w:rFonts w:ascii="Times New Roman" w:hAnsi="Times New Roman"/>
                <w:sz w:val="24"/>
                <w:szCs w:val="24"/>
                <w:lang w:val="en-US"/>
              </w:rPr>
              <w:t>7</w:t>
            </w:r>
          </w:p>
        </w:tc>
      </w:tr>
    </w:tbl>
    <w:p w14:paraId="06BD0F4F" w14:textId="77777777" w:rsidR="008F20E5" w:rsidRDefault="008F20E5" w:rsidP="00FD4CC6">
      <w:pPr>
        <w:autoSpaceDE w:val="0"/>
        <w:autoSpaceDN w:val="0"/>
        <w:adjustRightInd w:val="0"/>
        <w:spacing w:before="120" w:after="120" w:line="240" w:lineRule="auto"/>
        <w:ind w:firstLine="708"/>
        <w:jc w:val="both"/>
        <w:rPr>
          <w:rFonts w:ascii="Times New Roman" w:hAnsi="Times New Roman"/>
          <w:bCs/>
          <w:sz w:val="24"/>
          <w:szCs w:val="24"/>
          <w:lang w:eastAsia="bg-BG"/>
        </w:rPr>
      </w:pPr>
    </w:p>
    <w:p w14:paraId="1E0103C5" w14:textId="48E2EC82" w:rsidR="00FD4CC6" w:rsidRPr="006B4448" w:rsidRDefault="00FD4CC6" w:rsidP="00FD4CC6">
      <w:pPr>
        <w:autoSpaceDE w:val="0"/>
        <w:autoSpaceDN w:val="0"/>
        <w:adjustRightInd w:val="0"/>
        <w:spacing w:before="120" w:after="120" w:line="240" w:lineRule="auto"/>
        <w:ind w:firstLine="708"/>
        <w:jc w:val="both"/>
        <w:rPr>
          <w:rFonts w:ascii="Times New Roman" w:hAnsi="Times New Roman"/>
          <w:sz w:val="24"/>
          <w:szCs w:val="24"/>
          <w:lang w:eastAsia="bg-BG"/>
        </w:rPr>
      </w:pPr>
      <w:r w:rsidRPr="006B4448">
        <w:rPr>
          <w:rFonts w:ascii="Times New Roman" w:hAnsi="Times New Roman"/>
          <w:bCs/>
          <w:sz w:val="24"/>
          <w:szCs w:val="24"/>
          <w:lang w:eastAsia="bg-BG"/>
        </w:rPr>
        <w:t xml:space="preserve">В заключение, може да се каже, че </w:t>
      </w:r>
      <w:r w:rsidR="008D52A7">
        <w:rPr>
          <w:rFonts w:ascii="Times New Roman" w:hAnsi="Times New Roman"/>
          <w:sz w:val="24"/>
          <w:szCs w:val="24"/>
          <w:lang w:eastAsia="bg-BG"/>
        </w:rPr>
        <w:t>процедурата</w:t>
      </w:r>
      <w:r w:rsidR="008D52A7" w:rsidRPr="006B4448">
        <w:rPr>
          <w:rFonts w:ascii="Times New Roman" w:hAnsi="Times New Roman"/>
          <w:sz w:val="24"/>
          <w:szCs w:val="24"/>
          <w:lang w:eastAsia="bg-BG"/>
        </w:rPr>
        <w:t xml:space="preserve"> </w:t>
      </w:r>
      <w:r w:rsidRPr="006B4448">
        <w:rPr>
          <w:rFonts w:ascii="Times New Roman" w:hAnsi="Times New Roman"/>
          <w:sz w:val="24"/>
          <w:szCs w:val="24"/>
          <w:lang w:eastAsia="bg-BG"/>
        </w:rPr>
        <w:t xml:space="preserve">отговаря на всички условия, определени в глава I от ОРГО, както и на специалните условия за съответната категория помощи, посочени в глава III от </w:t>
      </w:r>
      <w:r w:rsidRPr="006B4448">
        <w:rPr>
          <w:rFonts w:ascii="Times New Roman" w:hAnsi="Times New Roman"/>
          <w:sz w:val="24"/>
          <w:szCs w:val="24"/>
        </w:rPr>
        <w:t>Регламент на Комисията (ЕС) № 651/2014</w:t>
      </w:r>
      <w:r w:rsidRPr="006B4448">
        <w:rPr>
          <w:rFonts w:ascii="Times New Roman" w:hAnsi="Times New Roman"/>
          <w:sz w:val="24"/>
          <w:szCs w:val="24"/>
          <w:lang w:eastAsia="bg-BG"/>
        </w:rPr>
        <w:t>.</w:t>
      </w:r>
    </w:p>
    <w:p w14:paraId="27FA6DA4" w14:textId="77777777" w:rsidR="00FD4CC6" w:rsidRPr="006B4448" w:rsidRDefault="00FD4CC6" w:rsidP="00FD4CC6">
      <w:pPr>
        <w:autoSpaceDE w:val="0"/>
        <w:autoSpaceDN w:val="0"/>
        <w:adjustRightInd w:val="0"/>
        <w:spacing w:before="120" w:after="120" w:line="240" w:lineRule="auto"/>
        <w:ind w:firstLine="708"/>
        <w:jc w:val="both"/>
        <w:rPr>
          <w:rFonts w:ascii="Times New Roman" w:hAnsi="Times New Roman"/>
          <w:sz w:val="24"/>
          <w:szCs w:val="24"/>
          <w:lang w:eastAsia="bg-BG"/>
        </w:rPr>
      </w:pPr>
      <w:r w:rsidRPr="006B4448">
        <w:rPr>
          <w:rFonts w:ascii="Times New Roman" w:hAnsi="Times New Roman"/>
          <w:sz w:val="24"/>
          <w:szCs w:val="24"/>
          <w:lang w:eastAsia="bg-BG"/>
        </w:rPr>
        <w:t>На етап кандидатстване за БФП е необходимо да се предостави, освен посо</w:t>
      </w:r>
      <w:r w:rsidR="002C3E8C">
        <w:rPr>
          <w:rFonts w:ascii="Times New Roman" w:hAnsi="Times New Roman"/>
          <w:sz w:val="24"/>
          <w:szCs w:val="24"/>
          <w:lang w:eastAsia="bg-BG"/>
        </w:rPr>
        <w:t xml:space="preserve">чените по-горе доказателства и </w:t>
      </w:r>
      <w:r w:rsidRPr="006B4448">
        <w:rPr>
          <w:rFonts w:ascii="Times New Roman" w:hAnsi="Times New Roman"/>
          <w:sz w:val="24"/>
          <w:szCs w:val="24"/>
          <w:lang w:eastAsia="bg-BG"/>
        </w:rPr>
        <w:t xml:space="preserve">декларация за получени държавни/минимални помощи, като се декларира, че финансираните други проекти не се натрупват с настоящия, тъй като се финансират други допустими разходи и по други проекти и обекти. </w:t>
      </w:r>
    </w:p>
    <w:p w14:paraId="4D4CF495" w14:textId="77777777" w:rsidR="00FD4CC6" w:rsidRPr="006B4448" w:rsidRDefault="00FD4CC6" w:rsidP="00FD4CC6">
      <w:pPr>
        <w:autoSpaceDE w:val="0"/>
        <w:autoSpaceDN w:val="0"/>
        <w:adjustRightInd w:val="0"/>
        <w:spacing w:before="120" w:after="120" w:line="240" w:lineRule="auto"/>
        <w:ind w:firstLine="567"/>
        <w:jc w:val="both"/>
        <w:rPr>
          <w:rFonts w:ascii="Times New Roman" w:hAnsi="Times New Roman"/>
          <w:sz w:val="24"/>
          <w:szCs w:val="24"/>
          <w:lang w:eastAsia="bg-BG"/>
        </w:rPr>
      </w:pPr>
      <w:r w:rsidRPr="006B4448">
        <w:rPr>
          <w:rFonts w:ascii="Times New Roman" w:hAnsi="Times New Roman"/>
          <w:sz w:val="24"/>
          <w:szCs w:val="24"/>
          <w:lang w:eastAsia="bg-BG"/>
        </w:rPr>
        <w:t>Съгласно чл. 38 от Закона за държавните помощи възстановяването на неправомерна и несъвместима държавна помощ или на неправилно използвана държавна помощ се извършва въз основа на решение на Европейската комисия с разпореждане за възстановяване и влязъл в сила акт за установяване на публично вземане, когато това е приложимо.</w:t>
      </w:r>
      <w:r w:rsidRPr="006B4448">
        <w:rPr>
          <w:rFonts w:ascii="Times New Roman" w:hAnsi="Times New Roman"/>
          <w:sz w:val="24"/>
          <w:szCs w:val="24"/>
          <w:lang w:val="en-US" w:eastAsia="bg-BG"/>
        </w:rPr>
        <w:t xml:space="preserve"> </w:t>
      </w:r>
      <w:r w:rsidRPr="006B4448">
        <w:rPr>
          <w:rFonts w:ascii="Times New Roman" w:hAnsi="Times New Roman"/>
          <w:sz w:val="24"/>
          <w:szCs w:val="24"/>
          <w:lang w:eastAsia="bg-BG"/>
        </w:rPr>
        <w:t>Вземанията подлежат на събиране по реда на Данъчно-осигурителния процесуален кодекс (ДОПК) от органите на Националната агенция за приходите.</w:t>
      </w:r>
    </w:p>
    <w:p w14:paraId="1C4FE753" w14:textId="77777777" w:rsidR="00FD4CC6" w:rsidRPr="006B4448" w:rsidRDefault="00FD4CC6" w:rsidP="00FD4CC6">
      <w:pPr>
        <w:autoSpaceDE w:val="0"/>
        <w:autoSpaceDN w:val="0"/>
        <w:adjustRightInd w:val="0"/>
        <w:spacing w:before="120" w:after="120" w:line="240" w:lineRule="auto"/>
        <w:ind w:firstLine="567"/>
        <w:jc w:val="both"/>
        <w:rPr>
          <w:rFonts w:ascii="Times New Roman" w:hAnsi="Times New Roman"/>
          <w:sz w:val="24"/>
          <w:szCs w:val="24"/>
          <w:lang w:eastAsia="bg-BG"/>
        </w:rPr>
      </w:pPr>
      <w:r w:rsidRPr="006B4448">
        <w:rPr>
          <w:rFonts w:ascii="Times New Roman" w:hAnsi="Times New Roman"/>
          <w:sz w:val="24"/>
          <w:szCs w:val="24"/>
          <w:lang w:eastAsia="bg-BG"/>
        </w:rPr>
        <w:t xml:space="preserve">Възстановяването на недължимо платените и надплатените суми, както и на неправомерно получените или неправомерно усвоени средства, ще се извършва в съответствие с установения ред, съгласно действащите нормативни актове за плащане, верификация и сертификация на разходите към момента на изпълнение на административния договор за безвъзмездна финансова помощ. </w:t>
      </w:r>
    </w:p>
    <w:p w14:paraId="406A23E8" w14:textId="77777777" w:rsidR="00FD4CC6" w:rsidRDefault="00FD4CC6" w:rsidP="00FD4CC6">
      <w:pPr>
        <w:autoSpaceDE w:val="0"/>
        <w:autoSpaceDN w:val="0"/>
        <w:adjustRightInd w:val="0"/>
        <w:spacing w:before="120" w:after="120" w:line="240" w:lineRule="auto"/>
        <w:ind w:firstLine="567"/>
        <w:jc w:val="both"/>
        <w:rPr>
          <w:rFonts w:ascii="Times New Roman" w:hAnsi="Times New Roman"/>
          <w:sz w:val="24"/>
          <w:szCs w:val="24"/>
          <w:lang w:eastAsia="bg-BG"/>
        </w:rPr>
      </w:pPr>
      <w:r w:rsidRPr="006B4448">
        <w:rPr>
          <w:rFonts w:ascii="Times New Roman" w:hAnsi="Times New Roman"/>
          <w:sz w:val="24"/>
          <w:szCs w:val="24"/>
          <w:lang w:eastAsia="bg-BG"/>
        </w:rPr>
        <w:t>След публикуване на Условия за кандидатстване не са допустими изменения, които могат да повлияят на съответствието на процедурата с изискванията на Регламент (ЕС) № 651/2014, освен тези свързани с актуализацията на у</w:t>
      </w:r>
      <w:r w:rsidR="004F0E6A">
        <w:rPr>
          <w:rFonts w:ascii="Times New Roman" w:hAnsi="Times New Roman"/>
          <w:sz w:val="24"/>
          <w:szCs w:val="24"/>
          <w:lang w:eastAsia="bg-BG"/>
        </w:rPr>
        <w:t>словията му при публикуване на Р</w:t>
      </w:r>
      <w:r w:rsidRPr="006B4448">
        <w:rPr>
          <w:rFonts w:ascii="Times New Roman" w:hAnsi="Times New Roman"/>
          <w:sz w:val="24"/>
          <w:szCs w:val="24"/>
          <w:lang w:eastAsia="bg-BG"/>
        </w:rPr>
        <w:t>егламента за изменение на ОРГО.</w:t>
      </w:r>
      <w:r w:rsidRPr="00EB34CB">
        <w:rPr>
          <w:rFonts w:ascii="Times New Roman" w:hAnsi="Times New Roman"/>
          <w:sz w:val="24"/>
          <w:szCs w:val="24"/>
          <w:lang w:eastAsia="bg-BG"/>
        </w:rPr>
        <w:t xml:space="preserve"> </w:t>
      </w:r>
    </w:p>
    <w:p w14:paraId="42F0636F" w14:textId="77777777" w:rsidR="00FD4CC6" w:rsidRPr="000F3548" w:rsidRDefault="00FD4CC6" w:rsidP="00FD4CC6">
      <w:pPr>
        <w:pStyle w:val="NormalWeb"/>
        <w:spacing w:before="120" w:beforeAutospacing="0" w:after="120" w:afterAutospacing="0"/>
        <w:ind w:firstLine="567"/>
        <w:jc w:val="both"/>
        <w:rPr>
          <w:color w:val="000000"/>
        </w:rPr>
      </w:pPr>
      <w:r w:rsidRPr="000F3548">
        <w:rPr>
          <w:color w:val="000000"/>
        </w:rPr>
        <w:t xml:space="preserve">Допълнително, </w:t>
      </w:r>
      <w:r w:rsidR="004F0E6A">
        <w:rPr>
          <w:color w:val="000000"/>
        </w:rPr>
        <w:t>бенефициентите</w:t>
      </w:r>
      <w:r w:rsidRPr="000F3548">
        <w:rPr>
          <w:color w:val="000000"/>
        </w:rPr>
        <w:t xml:space="preserve"> няма</w:t>
      </w:r>
      <w:r w:rsidR="004F0E6A">
        <w:rPr>
          <w:color w:val="000000"/>
        </w:rPr>
        <w:t>т</w:t>
      </w:r>
      <w:r w:rsidRPr="000F3548">
        <w:rPr>
          <w:color w:val="000000"/>
        </w:rPr>
        <w:t xml:space="preserve"> право да подава</w:t>
      </w:r>
      <w:r w:rsidR="004F0E6A">
        <w:rPr>
          <w:color w:val="000000"/>
        </w:rPr>
        <w:t>т</w:t>
      </w:r>
      <w:r w:rsidRPr="000F3548">
        <w:rPr>
          <w:color w:val="000000"/>
        </w:rPr>
        <w:t xml:space="preserve"> предложения за изпълнение на инвестиция по процедурата за вече</w:t>
      </w:r>
      <w:r w:rsidR="004F0E6A">
        <w:rPr>
          <w:color w:val="000000"/>
        </w:rPr>
        <w:t xml:space="preserve"> започнали и/или</w:t>
      </w:r>
      <w:r w:rsidRPr="000F3548">
        <w:rPr>
          <w:color w:val="000000"/>
        </w:rPr>
        <w:t xml:space="preserve"> реализирани дейности или такива, финансирани по друг проект, програма или каквато и да е друга финансова схема, произлизаща от националния бюджет, бюджета на Общността или друга донорска програма.</w:t>
      </w:r>
    </w:p>
    <w:p w14:paraId="1B235F3C" w14:textId="33B9BBF5" w:rsidR="00FD4CC6" w:rsidRDefault="004F0E6A" w:rsidP="00FD4CC6">
      <w:pPr>
        <w:pStyle w:val="NormalWeb"/>
        <w:spacing w:before="120" w:beforeAutospacing="0" w:after="120" w:afterAutospacing="0"/>
        <w:ind w:firstLine="567"/>
        <w:jc w:val="both"/>
      </w:pPr>
      <w:r>
        <w:rPr>
          <w:color w:val="000000"/>
        </w:rPr>
        <w:t>В етапа на кандидатстване</w:t>
      </w:r>
      <w:r w:rsidR="00FD4CC6" w:rsidRPr="008D0500">
        <w:rPr>
          <w:color w:val="000000"/>
        </w:rPr>
        <w:t xml:space="preserve">, към формуляра за кандидатстване също следва да бъдат приложени всички документи, доказващи </w:t>
      </w:r>
      <w:r w:rsidR="00FD4CC6">
        <w:rPr>
          <w:color w:val="000000"/>
        </w:rPr>
        <w:t xml:space="preserve">съответствието на </w:t>
      </w:r>
      <w:r w:rsidR="00FD4CC6" w:rsidRPr="008D0500">
        <w:rPr>
          <w:color w:val="000000"/>
        </w:rPr>
        <w:t xml:space="preserve">всеки конкретен проект </w:t>
      </w:r>
      <w:r w:rsidR="00FD4CC6">
        <w:rPr>
          <w:color w:val="000000"/>
        </w:rPr>
        <w:t>с условията по</w:t>
      </w:r>
      <w:r w:rsidR="00FD4CC6" w:rsidRPr="008D0500">
        <w:rPr>
          <w:color w:val="000000"/>
        </w:rPr>
        <w:t xml:space="preserve"> ОРГО. УО на </w:t>
      </w:r>
      <w:r>
        <w:rPr>
          <w:color w:val="000000"/>
        </w:rPr>
        <w:t>ПТС</w:t>
      </w:r>
      <w:r w:rsidR="00FD4CC6" w:rsidRPr="008D0500">
        <w:rPr>
          <w:color w:val="000000"/>
        </w:rPr>
        <w:t xml:space="preserve"> ще информира и ще съгласува с министъра на финансите всяко намерение за предоставяне на държавна помощ, когато държавната помощ попада в обхвата на общ регламент за групово освобождаване. </w:t>
      </w:r>
    </w:p>
    <w:p w14:paraId="37094655" w14:textId="776C6D42" w:rsidR="005D34A9" w:rsidRPr="006B4448" w:rsidRDefault="005D34A9" w:rsidP="005D34A9">
      <w:pPr>
        <w:autoSpaceDE w:val="0"/>
        <w:autoSpaceDN w:val="0"/>
        <w:adjustRightInd w:val="0"/>
        <w:spacing w:before="120" w:after="120" w:line="240" w:lineRule="auto"/>
        <w:ind w:firstLine="708"/>
        <w:jc w:val="both"/>
        <w:rPr>
          <w:rFonts w:ascii="Times New Roman" w:hAnsi="Times New Roman"/>
          <w:sz w:val="24"/>
          <w:szCs w:val="24"/>
          <w:lang w:eastAsia="bg-BG"/>
        </w:rPr>
      </w:pPr>
      <w:r w:rsidRPr="006B4448">
        <w:rPr>
          <w:rFonts w:ascii="Times New Roman" w:hAnsi="Times New Roman"/>
          <w:bCs/>
          <w:sz w:val="24"/>
          <w:szCs w:val="24"/>
          <w:lang w:eastAsia="bg-BG"/>
        </w:rPr>
        <w:t xml:space="preserve">В заключение, може да се каже, че </w:t>
      </w:r>
      <w:r w:rsidR="0066578E">
        <w:rPr>
          <w:rFonts w:ascii="Times New Roman" w:hAnsi="Times New Roman"/>
          <w:sz w:val="24"/>
          <w:szCs w:val="24"/>
          <w:lang w:eastAsia="bg-BG"/>
        </w:rPr>
        <w:t>процедурата</w:t>
      </w:r>
      <w:r w:rsidR="0066578E" w:rsidRPr="006B4448">
        <w:rPr>
          <w:rFonts w:ascii="Times New Roman" w:hAnsi="Times New Roman"/>
          <w:sz w:val="24"/>
          <w:szCs w:val="24"/>
          <w:lang w:eastAsia="bg-BG"/>
        </w:rPr>
        <w:t xml:space="preserve"> </w:t>
      </w:r>
      <w:r w:rsidRPr="006B4448">
        <w:rPr>
          <w:rFonts w:ascii="Times New Roman" w:hAnsi="Times New Roman"/>
          <w:sz w:val="24"/>
          <w:szCs w:val="24"/>
          <w:lang w:eastAsia="bg-BG"/>
        </w:rPr>
        <w:t xml:space="preserve">отговаря на всички условия, определени в глава I от ОРГО, както и на специалните условия за съответната категория помощи, посочени в глава III от </w:t>
      </w:r>
      <w:r w:rsidRPr="006B4448">
        <w:rPr>
          <w:rFonts w:ascii="Times New Roman" w:hAnsi="Times New Roman"/>
          <w:sz w:val="24"/>
          <w:szCs w:val="24"/>
        </w:rPr>
        <w:t>Регламент на Комисията (ЕС) № 651/2014</w:t>
      </w:r>
      <w:r w:rsidRPr="006B4448">
        <w:rPr>
          <w:rFonts w:ascii="Times New Roman" w:hAnsi="Times New Roman"/>
          <w:sz w:val="24"/>
          <w:szCs w:val="24"/>
          <w:lang w:eastAsia="bg-BG"/>
        </w:rPr>
        <w:t>.</w:t>
      </w:r>
    </w:p>
    <w:p w14:paraId="79DBF3EE" w14:textId="77777777" w:rsidR="00FD4CC6" w:rsidRDefault="00FD4CC6" w:rsidP="004F0E6A">
      <w:pPr>
        <w:autoSpaceDE w:val="0"/>
        <w:autoSpaceDN w:val="0"/>
        <w:adjustRightInd w:val="0"/>
        <w:ind w:firstLine="567"/>
        <w:jc w:val="both"/>
        <w:rPr>
          <w:rFonts w:ascii="Times New Roman" w:hAnsi="Times New Roman"/>
          <w:b/>
          <w:sz w:val="24"/>
          <w:szCs w:val="24"/>
        </w:rPr>
      </w:pPr>
    </w:p>
    <w:p w14:paraId="0629F57D" w14:textId="4345B9EA" w:rsidR="000447C5" w:rsidRDefault="000447C5"/>
    <w:p w14:paraId="00BB6AD2" w14:textId="77777777" w:rsidR="000447C5" w:rsidRPr="000447C5" w:rsidRDefault="000447C5" w:rsidP="000447C5"/>
    <w:p w14:paraId="0D7BFB57" w14:textId="77777777" w:rsidR="000447C5" w:rsidRPr="000447C5" w:rsidRDefault="000447C5" w:rsidP="000447C5"/>
    <w:p w14:paraId="27E9B134" w14:textId="77777777" w:rsidR="000447C5" w:rsidRPr="000447C5" w:rsidRDefault="000447C5" w:rsidP="000447C5"/>
    <w:p w14:paraId="6F600225" w14:textId="77777777" w:rsidR="000447C5" w:rsidRPr="000447C5" w:rsidRDefault="000447C5" w:rsidP="000447C5"/>
    <w:p w14:paraId="0312001C" w14:textId="77777777" w:rsidR="000447C5" w:rsidRPr="000447C5" w:rsidRDefault="000447C5" w:rsidP="000447C5"/>
    <w:p w14:paraId="24C50A5A" w14:textId="77777777" w:rsidR="000447C5" w:rsidRPr="000447C5" w:rsidRDefault="000447C5" w:rsidP="000447C5"/>
    <w:p w14:paraId="27E40495" w14:textId="77777777" w:rsidR="000447C5" w:rsidRPr="000447C5" w:rsidRDefault="000447C5" w:rsidP="000447C5"/>
    <w:p w14:paraId="53FBC044" w14:textId="77777777" w:rsidR="000447C5" w:rsidRPr="000447C5" w:rsidRDefault="000447C5" w:rsidP="000447C5"/>
    <w:p w14:paraId="6CA7F9AE" w14:textId="77777777" w:rsidR="000447C5" w:rsidRPr="000447C5" w:rsidRDefault="000447C5" w:rsidP="000447C5"/>
    <w:p w14:paraId="64FA2025" w14:textId="032286EB" w:rsidR="00AB4DB3" w:rsidRPr="000447C5" w:rsidRDefault="000447C5" w:rsidP="000447C5">
      <w:pPr>
        <w:tabs>
          <w:tab w:val="left" w:pos="3030"/>
        </w:tabs>
      </w:pPr>
      <w:r>
        <w:tab/>
      </w:r>
    </w:p>
    <w:sectPr w:rsidR="00AB4DB3" w:rsidRPr="000447C5" w:rsidSect="000447C5">
      <w:headerReference w:type="default" r:id="rId8"/>
      <w:footerReference w:type="default" r:id="rId9"/>
      <w:pgSz w:w="11906" w:h="16838"/>
      <w:pgMar w:top="1134"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2C3D969" w14:textId="77777777" w:rsidR="00C64245" w:rsidRDefault="00C64245" w:rsidP="00FD4CC6">
      <w:pPr>
        <w:spacing w:after="0" w:line="240" w:lineRule="auto"/>
      </w:pPr>
      <w:r>
        <w:separator/>
      </w:r>
    </w:p>
  </w:endnote>
  <w:endnote w:type="continuationSeparator" w:id="0">
    <w:p w14:paraId="1CAFF718" w14:textId="77777777" w:rsidR="00C64245" w:rsidRDefault="00C64245" w:rsidP="00FD4C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EUAlbertina">
    <w:altName w:val="Times New Roman"/>
    <w:panose1 w:val="00000000000000000000"/>
    <w:charset w:val="CC"/>
    <w:family w:val="swiss"/>
    <w:notTrueType/>
    <w:pitch w:val="default"/>
    <w:sig w:usb0="00000201" w:usb1="00000000" w:usb2="00000000" w:usb3="00000000" w:csb0="00000004"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3E3C31" w14:textId="23F98E24" w:rsidR="006B558C" w:rsidRDefault="006B558C" w:rsidP="006B558C">
    <w:pPr>
      <w:pStyle w:val="Footer"/>
      <w:pBdr>
        <w:top w:val="single" w:sz="4" w:space="1" w:color="auto"/>
      </w:pBdr>
      <w:jc w:val="right"/>
    </w:pPr>
    <w:r>
      <w:rPr>
        <w:lang w:val="en-US"/>
      </w:rPr>
      <w:t xml:space="preserve"> </w:t>
    </w:r>
    <w:sdt>
      <w:sdtPr>
        <w:id w:val="-519318619"/>
        <w:docPartObj>
          <w:docPartGallery w:val="Page Numbers (Bottom of Page)"/>
          <w:docPartUnique/>
        </w:docPartObj>
      </w:sdtPr>
      <w:sdtEndPr>
        <w:rPr>
          <w:noProof/>
        </w:rPr>
      </w:sdtEndPr>
      <w:sdtContent>
        <w:r w:rsidRPr="006B558C">
          <w:rPr>
            <w:rFonts w:ascii="Times New Roman" w:hAnsi="Times New Roman"/>
            <w:kern w:val="2"/>
            <w:sz w:val="20"/>
            <w:szCs w:val="20"/>
            <w14:ligatures w14:val="standardContextual"/>
          </w:rPr>
          <w:t>процедура BG16FFPR001-3.004 „Зарядна инфраструктура за електрически превозни средства</w:t>
        </w:r>
        <w:r w:rsidRPr="006B558C">
          <w:rPr>
            <w:rFonts w:ascii="Times New Roman" w:hAnsi="Times New Roman"/>
            <w:kern w:val="2"/>
            <w:sz w:val="20"/>
            <w:szCs w:val="20"/>
            <w:lang w:val="en-US"/>
            <w14:ligatures w14:val="standardContextual"/>
          </w:rPr>
          <w:t xml:space="preserve"> </w:t>
        </w:r>
        <w:r w:rsidRPr="006B558C">
          <w:rPr>
            <w:rFonts w:ascii="Times New Roman" w:hAnsi="Times New Roman"/>
            <w:kern w:val="2"/>
            <w:sz w:val="20"/>
            <w:szCs w:val="20"/>
            <w14:ligatures w14:val="standardContextual"/>
          </w:rPr>
          <w:t>по пътища</w:t>
        </w:r>
        <w:r w:rsidRPr="006B558C">
          <w:rPr>
            <w:rFonts w:ascii="Times New Roman" w:hAnsi="Times New Roman"/>
            <w:kern w:val="2"/>
            <w:sz w:val="20"/>
            <w:szCs w:val="20"/>
            <w:lang w:val="en-US"/>
            <w14:ligatures w14:val="standardContextual"/>
          </w:rPr>
          <w:t xml:space="preserve"> – вто</w:t>
        </w:r>
        <w:r w:rsidRPr="006B558C">
          <w:rPr>
            <w:rFonts w:ascii="Times New Roman" w:hAnsi="Times New Roman"/>
            <w:kern w:val="2"/>
            <w:sz w:val="20"/>
            <w:szCs w:val="20"/>
            <w14:ligatures w14:val="standardContextual"/>
          </w:rPr>
          <w:t>ра процедура“</w:t>
        </w:r>
        <w:r>
          <w:rPr>
            <w:rFonts w:ascii="Times New Roman" w:hAnsi="Times New Roman"/>
            <w:kern w:val="2"/>
            <w:sz w:val="20"/>
            <w:szCs w:val="20"/>
            <w14:ligatures w14:val="standardContextual"/>
          </w:rPr>
          <w:t xml:space="preserve"> </w:t>
        </w:r>
        <w:r>
          <w:rPr>
            <w:rFonts w:ascii="Times New Roman" w:hAnsi="Times New Roman"/>
            <w:kern w:val="2"/>
            <w:sz w:val="20"/>
            <w:szCs w:val="20"/>
            <w14:ligatures w14:val="standardContextual"/>
          </w:rPr>
          <w:tab/>
        </w:r>
        <w:r>
          <w:rPr>
            <w:rFonts w:ascii="Times New Roman" w:hAnsi="Times New Roman"/>
            <w:kern w:val="2"/>
            <w:sz w:val="20"/>
            <w:szCs w:val="20"/>
            <w14:ligatures w14:val="standardContextual"/>
          </w:rPr>
          <w:tab/>
        </w:r>
        <w:r>
          <w:t>стр.</w:t>
        </w:r>
        <w:r>
          <w:fldChar w:fldCharType="begin"/>
        </w:r>
        <w:r>
          <w:instrText xml:space="preserve"> PAGE   \* MERGEFORMAT </w:instrText>
        </w:r>
        <w:r>
          <w:fldChar w:fldCharType="separate"/>
        </w:r>
        <w:r>
          <w:rPr>
            <w:noProof/>
          </w:rPr>
          <w:t>3</w:t>
        </w:r>
        <w:r>
          <w:rPr>
            <w:noProof/>
          </w:rPr>
          <w:fldChar w:fldCharType="end"/>
        </w:r>
      </w:sdtContent>
    </w:sdt>
  </w:p>
  <w:p w14:paraId="03DD946E" w14:textId="77777777" w:rsidR="006B558C" w:rsidRDefault="006B558C"/>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DBD5755" w14:textId="77777777" w:rsidR="00C64245" w:rsidRDefault="00C64245" w:rsidP="00FD4CC6">
      <w:pPr>
        <w:spacing w:after="0" w:line="240" w:lineRule="auto"/>
      </w:pPr>
      <w:r>
        <w:separator/>
      </w:r>
    </w:p>
  </w:footnote>
  <w:footnote w:type="continuationSeparator" w:id="0">
    <w:p w14:paraId="393DACCE" w14:textId="77777777" w:rsidR="00C64245" w:rsidRDefault="00C64245" w:rsidP="00FD4CC6">
      <w:pPr>
        <w:spacing w:after="0" w:line="240" w:lineRule="auto"/>
      </w:pPr>
      <w:r>
        <w:continuationSeparator/>
      </w:r>
    </w:p>
  </w:footnote>
  <w:footnote w:id="1">
    <w:p w14:paraId="7C7274A8" w14:textId="0AA9B89B" w:rsidR="000447C5" w:rsidRDefault="000447C5" w:rsidP="000447C5">
      <w:pPr>
        <w:pStyle w:val="FootnoteText"/>
        <w:jc w:val="both"/>
      </w:pPr>
      <w:r>
        <w:rPr>
          <w:rStyle w:val="FootnoteReference"/>
        </w:rPr>
        <w:footnoteRef/>
      </w:r>
      <w:r>
        <w:t xml:space="preserve"> </w:t>
      </w:r>
      <w:r w:rsidRPr="000447C5">
        <w:rPr>
          <w:rFonts w:ascii="Times New Roman" w:hAnsi="Times New Roman" w:cs="Times New Roman"/>
          <w:sz w:val="16"/>
          <w:szCs w:val="16"/>
        </w:rPr>
        <w:t xml:space="preserve">„започване на работите по проекта“ </w:t>
      </w:r>
      <w:r>
        <w:rPr>
          <w:rFonts w:ascii="Times New Roman" w:hAnsi="Times New Roman" w:cs="Times New Roman"/>
          <w:sz w:val="16"/>
          <w:szCs w:val="16"/>
        </w:rPr>
        <w:t>(</w:t>
      </w:r>
      <w:r w:rsidRPr="000447C5">
        <w:rPr>
          <w:rFonts w:ascii="Times New Roman" w:hAnsi="Times New Roman" w:cs="Times New Roman"/>
          <w:sz w:val="16"/>
          <w:szCs w:val="16"/>
        </w:rPr>
        <w:t>чл. 2, параграф 23 от Регламент (ЕС) № 651/2014</w:t>
      </w:r>
      <w:r>
        <w:rPr>
          <w:rFonts w:ascii="Times New Roman" w:hAnsi="Times New Roman" w:cs="Times New Roman"/>
          <w:sz w:val="16"/>
          <w:szCs w:val="16"/>
        </w:rPr>
        <w:t xml:space="preserve">) </w:t>
      </w:r>
      <w:r w:rsidRPr="000447C5">
        <w:rPr>
          <w:rFonts w:ascii="Times New Roman" w:hAnsi="Times New Roman" w:cs="Times New Roman"/>
          <w:sz w:val="16"/>
          <w:szCs w:val="16"/>
        </w:rPr>
        <w:t>означава първото от следните събития: започване на строителните работи, свързани с инвестицията, или поемане на първия правнообвързващ ангажимент за поръчка на оборудване или всеки друг ангажимент, който прави инвестицията необратима. Купуването на земя и подготвителните дейности като получаването на разрешителни и провеждането на проучвания на осъществимостта не се считат за започване на работите по проекта. При поглъщания на предприятия „започване на работите по проекта“ означава момента на придобиване на активите, пряко свързани с придобития стопански обект;</w:t>
      </w:r>
    </w:p>
  </w:footnote>
  <w:footnote w:id="2">
    <w:p w14:paraId="3F9662CD" w14:textId="77777777" w:rsidR="00F25502" w:rsidRDefault="00F25502" w:rsidP="00F25502">
      <w:pPr>
        <w:pStyle w:val="FootnoteText"/>
        <w:jc w:val="both"/>
      </w:pPr>
      <w:r>
        <w:rPr>
          <w:rStyle w:val="FootnoteReference"/>
        </w:rPr>
        <w:footnoteRef/>
      </w:r>
      <w:r>
        <w:t xml:space="preserve"> </w:t>
      </w:r>
      <w:r w:rsidRPr="0033146F">
        <w:rPr>
          <w:rFonts w:ascii="Times New Roman" w:hAnsi="Times New Roman"/>
        </w:rPr>
        <w:t>Определянето на категорията на предприятията е в съответствие с разпоредбите на чл. 3 и чл. 4 от Закона за малките и средни предприятия</w:t>
      </w:r>
      <w:r w:rsidRPr="004E2564">
        <w:t xml:space="preserve"> </w:t>
      </w:r>
      <w:r w:rsidRPr="004E2564">
        <w:rPr>
          <w:rFonts w:ascii="Times New Roman" w:hAnsi="Times New Roman"/>
        </w:rPr>
        <w:t>и Приложение I „Определение за МСП“ към Регламент (ЕС) № 651/2014</w:t>
      </w:r>
      <w:r>
        <w:rPr>
          <w:rFonts w:ascii="Times New Roman" w:hAnsi="Times New Roman"/>
        </w:rPr>
        <w:t xml:space="preserve">.  </w:t>
      </w:r>
    </w:p>
    <w:p w14:paraId="07593B60" w14:textId="77777777" w:rsidR="00F25502" w:rsidRPr="00F148B0" w:rsidRDefault="00F25502" w:rsidP="00F25502">
      <w:pPr>
        <w:pStyle w:val="FootnoteText"/>
        <w:rPr>
          <w:sz w:val="2"/>
          <w:szCs w:val="2"/>
        </w:rPr>
      </w:pPr>
    </w:p>
  </w:footnote>
  <w:footnote w:id="3">
    <w:p w14:paraId="054790BE" w14:textId="77777777" w:rsidR="00F25502" w:rsidRDefault="00F25502" w:rsidP="00F25502">
      <w:pPr>
        <w:pStyle w:val="FootnoteText"/>
        <w:jc w:val="both"/>
      </w:pPr>
      <w:r>
        <w:rPr>
          <w:rStyle w:val="FootnoteReference"/>
        </w:rPr>
        <w:footnoteRef/>
      </w:r>
      <w:r>
        <w:t xml:space="preserve"> </w:t>
      </w:r>
      <w:r>
        <w:rPr>
          <w:rFonts w:ascii="Times New Roman" w:hAnsi="Times New Roman"/>
          <w:b/>
          <w:i/>
          <w:u w:val="single"/>
        </w:rPr>
        <w:t>Регион тип А</w:t>
      </w:r>
      <w:r>
        <w:rPr>
          <w:rFonts w:ascii="Times New Roman" w:hAnsi="Times New Roman"/>
        </w:rPr>
        <w:t xml:space="preserve"> (региони, отговарящи на </w:t>
      </w:r>
      <w:r w:rsidRPr="00ED68F6">
        <w:rPr>
          <w:rFonts w:ascii="Times New Roman" w:hAnsi="Times New Roman"/>
        </w:rPr>
        <w:t>условията за помощ съгласно член 10</w:t>
      </w:r>
      <w:r>
        <w:rPr>
          <w:rFonts w:ascii="Times New Roman" w:hAnsi="Times New Roman"/>
        </w:rPr>
        <w:t xml:space="preserve">7, параграф 3, буква а) от ДФЕС) - </w:t>
      </w:r>
      <w:r w:rsidRPr="00ED68F6">
        <w:rPr>
          <w:rFonts w:ascii="Times New Roman" w:hAnsi="Times New Roman"/>
        </w:rPr>
        <w:t>BG31 Северозападен, BG32 Северен централен, BG33 Североизточен, BG34 Югоизточен и BG42 Южен централен</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CAA244" w14:textId="15A87337" w:rsidR="00FD4CC6" w:rsidRPr="00954DB6" w:rsidRDefault="00FD4CC6" w:rsidP="00FD4CC6">
    <w:pPr>
      <w:pStyle w:val="Header"/>
      <w:jc w:val="right"/>
      <w:rPr>
        <w:rFonts w:ascii="Times New Roman" w:hAnsi="Times New Roman"/>
        <w:b/>
        <w:i/>
        <w:sz w:val="24"/>
        <w:szCs w:val="24"/>
        <w:lang w:val="en-US"/>
      </w:rPr>
    </w:pPr>
    <w:r w:rsidRPr="00954DB6">
      <w:rPr>
        <w:rFonts w:ascii="Times New Roman" w:hAnsi="Times New Roman"/>
        <w:b/>
        <w:i/>
        <w:sz w:val="24"/>
        <w:szCs w:val="24"/>
      </w:rPr>
      <w:t xml:space="preserve">Приложение </w:t>
    </w:r>
    <w:r w:rsidR="0006461A" w:rsidRPr="00954DB6">
      <w:rPr>
        <w:rFonts w:ascii="Times New Roman" w:hAnsi="Times New Roman"/>
        <w:b/>
        <w:i/>
        <w:sz w:val="24"/>
        <w:szCs w:val="24"/>
        <w:lang w:val="en-US"/>
      </w:rPr>
      <w:t>8</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DE166B"/>
    <w:multiLevelType w:val="multilevel"/>
    <w:tmpl w:val="880CB90A"/>
    <w:lvl w:ilvl="0">
      <w:start w:val="16"/>
      <w:numFmt w:val="decimal"/>
      <w:lvlText w:val="%1"/>
      <w:lvlJc w:val="left"/>
      <w:pPr>
        <w:ind w:left="420" w:hanging="420"/>
      </w:pPr>
      <w:rPr>
        <w:rFonts w:hint="default"/>
      </w:rPr>
    </w:lvl>
    <w:lvl w:ilvl="1">
      <w:start w:val="1"/>
      <w:numFmt w:val="decimal"/>
      <w:lvlText w:val="%1.%2"/>
      <w:lvlJc w:val="left"/>
      <w:pPr>
        <w:ind w:left="1407" w:hanging="420"/>
      </w:pPr>
      <w:rPr>
        <w:rFonts w:hint="default"/>
      </w:rPr>
    </w:lvl>
    <w:lvl w:ilvl="2">
      <w:start w:val="1"/>
      <w:numFmt w:val="decimal"/>
      <w:lvlText w:val="%1.%2.%3"/>
      <w:lvlJc w:val="left"/>
      <w:pPr>
        <w:ind w:left="2694" w:hanging="720"/>
      </w:pPr>
      <w:rPr>
        <w:rFonts w:hint="default"/>
      </w:rPr>
    </w:lvl>
    <w:lvl w:ilvl="3">
      <w:start w:val="1"/>
      <w:numFmt w:val="decimal"/>
      <w:lvlText w:val="%1.%2.%3.%4"/>
      <w:lvlJc w:val="left"/>
      <w:pPr>
        <w:ind w:left="3681" w:hanging="720"/>
      </w:pPr>
      <w:rPr>
        <w:rFonts w:hint="default"/>
      </w:rPr>
    </w:lvl>
    <w:lvl w:ilvl="4">
      <w:start w:val="1"/>
      <w:numFmt w:val="decimal"/>
      <w:lvlText w:val="%1.%2.%3.%4.%5"/>
      <w:lvlJc w:val="left"/>
      <w:pPr>
        <w:ind w:left="5028" w:hanging="1080"/>
      </w:pPr>
      <w:rPr>
        <w:rFonts w:hint="default"/>
      </w:rPr>
    </w:lvl>
    <w:lvl w:ilvl="5">
      <w:start w:val="1"/>
      <w:numFmt w:val="decimal"/>
      <w:lvlText w:val="%1.%2.%3.%4.%5.%6"/>
      <w:lvlJc w:val="left"/>
      <w:pPr>
        <w:ind w:left="6015" w:hanging="1080"/>
      </w:pPr>
      <w:rPr>
        <w:rFonts w:hint="default"/>
      </w:rPr>
    </w:lvl>
    <w:lvl w:ilvl="6">
      <w:start w:val="1"/>
      <w:numFmt w:val="decimal"/>
      <w:lvlText w:val="%1.%2.%3.%4.%5.%6.%7"/>
      <w:lvlJc w:val="left"/>
      <w:pPr>
        <w:ind w:left="7362" w:hanging="1440"/>
      </w:pPr>
      <w:rPr>
        <w:rFonts w:hint="default"/>
      </w:rPr>
    </w:lvl>
    <w:lvl w:ilvl="7">
      <w:start w:val="1"/>
      <w:numFmt w:val="decimal"/>
      <w:lvlText w:val="%1.%2.%3.%4.%5.%6.%7.%8"/>
      <w:lvlJc w:val="left"/>
      <w:pPr>
        <w:ind w:left="8349" w:hanging="1440"/>
      </w:pPr>
      <w:rPr>
        <w:rFonts w:hint="default"/>
      </w:rPr>
    </w:lvl>
    <w:lvl w:ilvl="8">
      <w:start w:val="1"/>
      <w:numFmt w:val="decimal"/>
      <w:lvlText w:val="%1.%2.%3.%4.%5.%6.%7.%8.%9"/>
      <w:lvlJc w:val="left"/>
      <w:pPr>
        <w:ind w:left="9696" w:hanging="1800"/>
      </w:pPr>
      <w:rPr>
        <w:rFonts w:hint="default"/>
      </w:rPr>
    </w:lvl>
  </w:abstractNum>
  <w:abstractNum w:abstractNumId="1" w15:restartNumberingAfterBreak="0">
    <w:nsid w:val="0DEB1FEF"/>
    <w:multiLevelType w:val="hybridMultilevel"/>
    <w:tmpl w:val="B8D09A36"/>
    <w:lvl w:ilvl="0" w:tplc="3D262BDA">
      <w:numFmt w:val="bullet"/>
      <w:lvlText w:val="-"/>
      <w:lvlJc w:val="left"/>
      <w:pPr>
        <w:ind w:left="1068" w:hanging="360"/>
      </w:pPr>
      <w:rPr>
        <w:rFonts w:ascii="EUAlbertina" w:eastAsiaTheme="minorHAnsi" w:hAnsi="EUAlbertina" w:cs="EUAlbertina" w:hint="default"/>
        <w:sz w:val="24"/>
      </w:rPr>
    </w:lvl>
    <w:lvl w:ilvl="1" w:tplc="04090003" w:tentative="1">
      <w:start w:val="1"/>
      <w:numFmt w:val="bullet"/>
      <w:lvlText w:val="o"/>
      <w:lvlJc w:val="left"/>
      <w:pPr>
        <w:ind w:left="1788" w:hanging="360"/>
      </w:pPr>
      <w:rPr>
        <w:rFonts w:ascii="Courier New" w:hAnsi="Courier New" w:cs="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cs="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cs="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2" w15:restartNumberingAfterBreak="0">
    <w:nsid w:val="2406399F"/>
    <w:multiLevelType w:val="multilevel"/>
    <w:tmpl w:val="8C3EA542"/>
    <w:lvl w:ilvl="0">
      <w:start w:val="15"/>
      <w:numFmt w:val="decimal"/>
      <w:lvlText w:val="%1"/>
      <w:lvlJc w:val="left"/>
      <w:pPr>
        <w:ind w:left="420" w:hanging="420"/>
      </w:pPr>
      <w:rPr>
        <w:rFonts w:hint="default"/>
      </w:rPr>
    </w:lvl>
    <w:lvl w:ilvl="1">
      <w:start w:val="1"/>
      <w:numFmt w:val="decimal"/>
      <w:lvlText w:val="%1.%2"/>
      <w:lvlJc w:val="left"/>
      <w:pPr>
        <w:ind w:left="1407" w:hanging="420"/>
      </w:pPr>
      <w:rPr>
        <w:rFonts w:hint="default"/>
      </w:rPr>
    </w:lvl>
    <w:lvl w:ilvl="2">
      <w:start w:val="1"/>
      <w:numFmt w:val="decimal"/>
      <w:lvlText w:val="%1.%2.%3"/>
      <w:lvlJc w:val="left"/>
      <w:pPr>
        <w:ind w:left="2694" w:hanging="720"/>
      </w:pPr>
      <w:rPr>
        <w:rFonts w:hint="default"/>
      </w:rPr>
    </w:lvl>
    <w:lvl w:ilvl="3">
      <w:start w:val="1"/>
      <w:numFmt w:val="decimal"/>
      <w:lvlText w:val="%1.%2.%3.%4"/>
      <w:lvlJc w:val="left"/>
      <w:pPr>
        <w:ind w:left="3681" w:hanging="720"/>
      </w:pPr>
      <w:rPr>
        <w:rFonts w:hint="default"/>
      </w:rPr>
    </w:lvl>
    <w:lvl w:ilvl="4">
      <w:start w:val="1"/>
      <w:numFmt w:val="decimal"/>
      <w:lvlText w:val="%1.%2.%3.%4.%5"/>
      <w:lvlJc w:val="left"/>
      <w:pPr>
        <w:ind w:left="5028" w:hanging="1080"/>
      </w:pPr>
      <w:rPr>
        <w:rFonts w:hint="default"/>
      </w:rPr>
    </w:lvl>
    <w:lvl w:ilvl="5">
      <w:start w:val="1"/>
      <w:numFmt w:val="decimal"/>
      <w:lvlText w:val="%1.%2.%3.%4.%5.%6"/>
      <w:lvlJc w:val="left"/>
      <w:pPr>
        <w:ind w:left="6015" w:hanging="1080"/>
      </w:pPr>
      <w:rPr>
        <w:rFonts w:hint="default"/>
      </w:rPr>
    </w:lvl>
    <w:lvl w:ilvl="6">
      <w:start w:val="1"/>
      <w:numFmt w:val="decimal"/>
      <w:lvlText w:val="%1.%2.%3.%4.%5.%6.%7"/>
      <w:lvlJc w:val="left"/>
      <w:pPr>
        <w:ind w:left="7362" w:hanging="1440"/>
      </w:pPr>
      <w:rPr>
        <w:rFonts w:hint="default"/>
      </w:rPr>
    </w:lvl>
    <w:lvl w:ilvl="7">
      <w:start w:val="1"/>
      <w:numFmt w:val="decimal"/>
      <w:lvlText w:val="%1.%2.%3.%4.%5.%6.%7.%8"/>
      <w:lvlJc w:val="left"/>
      <w:pPr>
        <w:ind w:left="8349" w:hanging="1440"/>
      </w:pPr>
      <w:rPr>
        <w:rFonts w:hint="default"/>
      </w:rPr>
    </w:lvl>
    <w:lvl w:ilvl="8">
      <w:start w:val="1"/>
      <w:numFmt w:val="decimal"/>
      <w:lvlText w:val="%1.%2.%3.%4.%5.%6.%7.%8.%9"/>
      <w:lvlJc w:val="left"/>
      <w:pPr>
        <w:ind w:left="9696" w:hanging="1800"/>
      </w:pPr>
      <w:rPr>
        <w:rFonts w:hint="default"/>
      </w:rPr>
    </w:lvl>
  </w:abstractNum>
  <w:abstractNum w:abstractNumId="3" w15:restartNumberingAfterBreak="0">
    <w:nsid w:val="29950129"/>
    <w:multiLevelType w:val="hybridMultilevel"/>
    <w:tmpl w:val="36A60A9A"/>
    <w:lvl w:ilvl="0" w:tplc="DB1C65A8">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39A6564C"/>
    <w:multiLevelType w:val="hybridMultilevel"/>
    <w:tmpl w:val="CCB4B678"/>
    <w:lvl w:ilvl="0" w:tplc="08090001">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5" w15:restartNumberingAfterBreak="0">
    <w:nsid w:val="3BED42B8"/>
    <w:multiLevelType w:val="multilevel"/>
    <w:tmpl w:val="78FE3D92"/>
    <w:lvl w:ilvl="0">
      <w:start w:val="16"/>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49893FEF"/>
    <w:multiLevelType w:val="hybridMultilevel"/>
    <w:tmpl w:val="C2EC76D0"/>
    <w:lvl w:ilvl="0" w:tplc="1C36A6C8">
      <w:numFmt w:val="bullet"/>
      <w:lvlText w:val="-"/>
      <w:lvlJc w:val="left"/>
      <w:pPr>
        <w:ind w:left="1068" w:hanging="360"/>
      </w:pPr>
      <w:rPr>
        <w:rFonts w:ascii="Times New Roman" w:eastAsia="Times New Roman" w:hAnsi="Times New Roman" w:cs="Times New Roman" w:hint="default"/>
      </w:rPr>
    </w:lvl>
    <w:lvl w:ilvl="1" w:tplc="04020003" w:tentative="1">
      <w:start w:val="1"/>
      <w:numFmt w:val="bullet"/>
      <w:lvlText w:val="o"/>
      <w:lvlJc w:val="left"/>
      <w:pPr>
        <w:ind w:left="1788" w:hanging="360"/>
      </w:pPr>
      <w:rPr>
        <w:rFonts w:ascii="Courier New" w:hAnsi="Courier New" w:cs="Courier New" w:hint="default"/>
      </w:rPr>
    </w:lvl>
    <w:lvl w:ilvl="2" w:tplc="04020005" w:tentative="1">
      <w:start w:val="1"/>
      <w:numFmt w:val="bullet"/>
      <w:lvlText w:val=""/>
      <w:lvlJc w:val="left"/>
      <w:pPr>
        <w:ind w:left="2508" w:hanging="360"/>
      </w:pPr>
      <w:rPr>
        <w:rFonts w:ascii="Wingdings" w:hAnsi="Wingdings" w:hint="default"/>
      </w:rPr>
    </w:lvl>
    <w:lvl w:ilvl="3" w:tplc="04020001" w:tentative="1">
      <w:start w:val="1"/>
      <w:numFmt w:val="bullet"/>
      <w:lvlText w:val=""/>
      <w:lvlJc w:val="left"/>
      <w:pPr>
        <w:ind w:left="3228" w:hanging="360"/>
      </w:pPr>
      <w:rPr>
        <w:rFonts w:ascii="Symbol" w:hAnsi="Symbol" w:hint="default"/>
      </w:rPr>
    </w:lvl>
    <w:lvl w:ilvl="4" w:tplc="04020003" w:tentative="1">
      <w:start w:val="1"/>
      <w:numFmt w:val="bullet"/>
      <w:lvlText w:val="o"/>
      <w:lvlJc w:val="left"/>
      <w:pPr>
        <w:ind w:left="3948" w:hanging="360"/>
      </w:pPr>
      <w:rPr>
        <w:rFonts w:ascii="Courier New" w:hAnsi="Courier New" w:cs="Courier New" w:hint="default"/>
      </w:rPr>
    </w:lvl>
    <w:lvl w:ilvl="5" w:tplc="04020005" w:tentative="1">
      <w:start w:val="1"/>
      <w:numFmt w:val="bullet"/>
      <w:lvlText w:val=""/>
      <w:lvlJc w:val="left"/>
      <w:pPr>
        <w:ind w:left="4668" w:hanging="360"/>
      </w:pPr>
      <w:rPr>
        <w:rFonts w:ascii="Wingdings" w:hAnsi="Wingdings" w:hint="default"/>
      </w:rPr>
    </w:lvl>
    <w:lvl w:ilvl="6" w:tplc="04020001" w:tentative="1">
      <w:start w:val="1"/>
      <w:numFmt w:val="bullet"/>
      <w:lvlText w:val=""/>
      <w:lvlJc w:val="left"/>
      <w:pPr>
        <w:ind w:left="5388" w:hanging="360"/>
      </w:pPr>
      <w:rPr>
        <w:rFonts w:ascii="Symbol" w:hAnsi="Symbol" w:hint="default"/>
      </w:rPr>
    </w:lvl>
    <w:lvl w:ilvl="7" w:tplc="04020003" w:tentative="1">
      <w:start w:val="1"/>
      <w:numFmt w:val="bullet"/>
      <w:lvlText w:val="o"/>
      <w:lvlJc w:val="left"/>
      <w:pPr>
        <w:ind w:left="6108" w:hanging="360"/>
      </w:pPr>
      <w:rPr>
        <w:rFonts w:ascii="Courier New" w:hAnsi="Courier New" w:cs="Courier New" w:hint="default"/>
      </w:rPr>
    </w:lvl>
    <w:lvl w:ilvl="8" w:tplc="04020005" w:tentative="1">
      <w:start w:val="1"/>
      <w:numFmt w:val="bullet"/>
      <w:lvlText w:val=""/>
      <w:lvlJc w:val="left"/>
      <w:pPr>
        <w:ind w:left="6828" w:hanging="360"/>
      </w:pPr>
      <w:rPr>
        <w:rFonts w:ascii="Wingdings" w:hAnsi="Wingdings" w:hint="default"/>
      </w:rPr>
    </w:lvl>
  </w:abstractNum>
  <w:abstractNum w:abstractNumId="7" w15:restartNumberingAfterBreak="0">
    <w:nsid w:val="4FCE57C2"/>
    <w:multiLevelType w:val="hybridMultilevel"/>
    <w:tmpl w:val="2C3A305A"/>
    <w:lvl w:ilvl="0" w:tplc="78EECA74">
      <w:start w:val="1"/>
      <w:numFmt w:val="decimal"/>
      <w:lvlText w:val="%1."/>
      <w:lvlJc w:val="left"/>
      <w:pPr>
        <w:ind w:left="720" w:hanging="360"/>
      </w:pPr>
      <w:rPr>
        <w:rFonts w:ascii="Times New Roman" w:eastAsiaTheme="minorHAnsi" w:hAnsi="Times New Roman" w:cs="Times New Roman"/>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57A4016F"/>
    <w:multiLevelType w:val="hybridMultilevel"/>
    <w:tmpl w:val="3948FD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9764E47"/>
    <w:multiLevelType w:val="hybridMultilevel"/>
    <w:tmpl w:val="64B4D262"/>
    <w:lvl w:ilvl="0" w:tplc="A2BCABEE">
      <w:start w:val="1"/>
      <w:numFmt w:val="decimal"/>
      <w:lvlText w:val="%1."/>
      <w:lvlJc w:val="left"/>
      <w:pPr>
        <w:ind w:left="1065" w:hanging="360"/>
      </w:pPr>
      <w:rPr>
        <w:rFonts w:hint="default"/>
      </w:rPr>
    </w:lvl>
    <w:lvl w:ilvl="1" w:tplc="04020019" w:tentative="1">
      <w:start w:val="1"/>
      <w:numFmt w:val="lowerLetter"/>
      <w:lvlText w:val="%2."/>
      <w:lvlJc w:val="left"/>
      <w:pPr>
        <w:ind w:left="1785" w:hanging="360"/>
      </w:pPr>
    </w:lvl>
    <w:lvl w:ilvl="2" w:tplc="0402001B" w:tentative="1">
      <w:start w:val="1"/>
      <w:numFmt w:val="lowerRoman"/>
      <w:lvlText w:val="%3."/>
      <w:lvlJc w:val="right"/>
      <w:pPr>
        <w:ind w:left="2505" w:hanging="180"/>
      </w:pPr>
    </w:lvl>
    <w:lvl w:ilvl="3" w:tplc="0402000F" w:tentative="1">
      <w:start w:val="1"/>
      <w:numFmt w:val="decimal"/>
      <w:lvlText w:val="%4."/>
      <w:lvlJc w:val="left"/>
      <w:pPr>
        <w:ind w:left="3225" w:hanging="360"/>
      </w:pPr>
    </w:lvl>
    <w:lvl w:ilvl="4" w:tplc="04020019" w:tentative="1">
      <w:start w:val="1"/>
      <w:numFmt w:val="lowerLetter"/>
      <w:lvlText w:val="%5."/>
      <w:lvlJc w:val="left"/>
      <w:pPr>
        <w:ind w:left="3945" w:hanging="360"/>
      </w:pPr>
    </w:lvl>
    <w:lvl w:ilvl="5" w:tplc="0402001B" w:tentative="1">
      <w:start w:val="1"/>
      <w:numFmt w:val="lowerRoman"/>
      <w:lvlText w:val="%6."/>
      <w:lvlJc w:val="right"/>
      <w:pPr>
        <w:ind w:left="4665" w:hanging="180"/>
      </w:pPr>
    </w:lvl>
    <w:lvl w:ilvl="6" w:tplc="0402000F" w:tentative="1">
      <w:start w:val="1"/>
      <w:numFmt w:val="decimal"/>
      <w:lvlText w:val="%7."/>
      <w:lvlJc w:val="left"/>
      <w:pPr>
        <w:ind w:left="5385" w:hanging="360"/>
      </w:pPr>
    </w:lvl>
    <w:lvl w:ilvl="7" w:tplc="04020019" w:tentative="1">
      <w:start w:val="1"/>
      <w:numFmt w:val="lowerLetter"/>
      <w:lvlText w:val="%8."/>
      <w:lvlJc w:val="left"/>
      <w:pPr>
        <w:ind w:left="6105" w:hanging="360"/>
      </w:pPr>
    </w:lvl>
    <w:lvl w:ilvl="8" w:tplc="0402001B" w:tentative="1">
      <w:start w:val="1"/>
      <w:numFmt w:val="lowerRoman"/>
      <w:lvlText w:val="%9."/>
      <w:lvlJc w:val="right"/>
      <w:pPr>
        <w:ind w:left="6825" w:hanging="180"/>
      </w:pPr>
    </w:lvl>
  </w:abstractNum>
  <w:abstractNum w:abstractNumId="10" w15:restartNumberingAfterBreak="0">
    <w:nsid w:val="5D1D647F"/>
    <w:multiLevelType w:val="hybridMultilevel"/>
    <w:tmpl w:val="43BCE056"/>
    <w:lvl w:ilvl="0" w:tplc="0402000B">
      <w:start w:val="1"/>
      <w:numFmt w:val="bullet"/>
      <w:lvlText w:val=""/>
      <w:lvlJc w:val="left"/>
      <w:pPr>
        <w:ind w:left="1068" w:hanging="360"/>
      </w:pPr>
      <w:rPr>
        <w:rFonts w:ascii="Wingdings" w:hAnsi="Wingdings" w:hint="default"/>
      </w:rPr>
    </w:lvl>
    <w:lvl w:ilvl="1" w:tplc="04020003" w:tentative="1">
      <w:start w:val="1"/>
      <w:numFmt w:val="bullet"/>
      <w:lvlText w:val="o"/>
      <w:lvlJc w:val="left"/>
      <w:pPr>
        <w:ind w:left="1788" w:hanging="360"/>
      </w:pPr>
      <w:rPr>
        <w:rFonts w:ascii="Courier New" w:hAnsi="Courier New" w:cs="Courier New" w:hint="default"/>
      </w:rPr>
    </w:lvl>
    <w:lvl w:ilvl="2" w:tplc="04020005" w:tentative="1">
      <w:start w:val="1"/>
      <w:numFmt w:val="bullet"/>
      <w:lvlText w:val=""/>
      <w:lvlJc w:val="left"/>
      <w:pPr>
        <w:ind w:left="2508" w:hanging="360"/>
      </w:pPr>
      <w:rPr>
        <w:rFonts w:ascii="Wingdings" w:hAnsi="Wingdings" w:hint="default"/>
      </w:rPr>
    </w:lvl>
    <w:lvl w:ilvl="3" w:tplc="04020001" w:tentative="1">
      <w:start w:val="1"/>
      <w:numFmt w:val="bullet"/>
      <w:lvlText w:val=""/>
      <w:lvlJc w:val="left"/>
      <w:pPr>
        <w:ind w:left="3228" w:hanging="360"/>
      </w:pPr>
      <w:rPr>
        <w:rFonts w:ascii="Symbol" w:hAnsi="Symbol" w:hint="default"/>
      </w:rPr>
    </w:lvl>
    <w:lvl w:ilvl="4" w:tplc="04020003" w:tentative="1">
      <w:start w:val="1"/>
      <w:numFmt w:val="bullet"/>
      <w:lvlText w:val="o"/>
      <w:lvlJc w:val="left"/>
      <w:pPr>
        <w:ind w:left="3948" w:hanging="360"/>
      </w:pPr>
      <w:rPr>
        <w:rFonts w:ascii="Courier New" w:hAnsi="Courier New" w:cs="Courier New" w:hint="default"/>
      </w:rPr>
    </w:lvl>
    <w:lvl w:ilvl="5" w:tplc="04020005" w:tentative="1">
      <w:start w:val="1"/>
      <w:numFmt w:val="bullet"/>
      <w:lvlText w:val=""/>
      <w:lvlJc w:val="left"/>
      <w:pPr>
        <w:ind w:left="4668" w:hanging="360"/>
      </w:pPr>
      <w:rPr>
        <w:rFonts w:ascii="Wingdings" w:hAnsi="Wingdings" w:hint="default"/>
      </w:rPr>
    </w:lvl>
    <w:lvl w:ilvl="6" w:tplc="04020001" w:tentative="1">
      <w:start w:val="1"/>
      <w:numFmt w:val="bullet"/>
      <w:lvlText w:val=""/>
      <w:lvlJc w:val="left"/>
      <w:pPr>
        <w:ind w:left="5388" w:hanging="360"/>
      </w:pPr>
      <w:rPr>
        <w:rFonts w:ascii="Symbol" w:hAnsi="Symbol" w:hint="default"/>
      </w:rPr>
    </w:lvl>
    <w:lvl w:ilvl="7" w:tplc="04020003" w:tentative="1">
      <w:start w:val="1"/>
      <w:numFmt w:val="bullet"/>
      <w:lvlText w:val="o"/>
      <w:lvlJc w:val="left"/>
      <w:pPr>
        <w:ind w:left="6108" w:hanging="360"/>
      </w:pPr>
      <w:rPr>
        <w:rFonts w:ascii="Courier New" w:hAnsi="Courier New" w:cs="Courier New" w:hint="default"/>
      </w:rPr>
    </w:lvl>
    <w:lvl w:ilvl="8" w:tplc="04020005" w:tentative="1">
      <w:start w:val="1"/>
      <w:numFmt w:val="bullet"/>
      <w:lvlText w:val=""/>
      <w:lvlJc w:val="left"/>
      <w:pPr>
        <w:ind w:left="6828" w:hanging="360"/>
      </w:pPr>
      <w:rPr>
        <w:rFonts w:ascii="Wingdings" w:hAnsi="Wingdings" w:hint="default"/>
      </w:rPr>
    </w:lvl>
  </w:abstractNum>
  <w:abstractNum w:abstractNumId="11" w15:restartNumberingAfterBreak="0">
    <w:nsid w:val="5D596E3F"/>
    <w:multiLevelType w:val="hybridMultilevel"/>
    <w:tmpl w:val="36EA0588"/>
    <w:lvl w:ilvl="0" w:tplc="64AC78BE">
      <w:start w:val="1"/>
      <w:numFmt w:val="bullet"/>
      <w:lvlText w:val=""/>
      <w:lvlJc w:val="left"/>
      <w:pPr>
        <w:ind w:left="720" w:hanging="360"/>
      </w:pPr>
      <w:rPr>
        <w:rFonts w:ascii="Symbol" w:hAnsi="Symbol" w:hint="default"/>
        <w:b/>
        <w:color w:val="C45911" w:themeColor="accent2" w:themeShade="BF"/>
        <w:u w:color="C45911" w:themeColor="accent2" w:themeShade="BF"/>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2" w15:restartNumberingAfterBreak="0">
    <w:nsid w:val="68250DC8"/>
    <w:multiLevelType w:val="hybridMultilevel"/>
    <w:tmpl w:val="44B09388"/>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3" w15:restartNumberingAfterBreak="0">
    <w:nsid w:val="69BD4FB7"/>
    <w:multiLevelType w:val="hybridMultilevel"/>
    <w:tmpl w:val="C42078D4"/>
    <w:lvl w:ilvl="0" w:tplc="DB98D3A4">
      <w:start w:val="8"/>
      <w:numFmt w:val="bullet"/>
      <w:lvlText w:val="-"/>
      <w:lvlJc w:val="left"/>
      <w:pPr>
        <w:ind w:left="720" w:hanging="360"/>
      </w:pPr>
      <w:rPr>
        <w:rFonts w:ascii="Times New Roman" w:eastAsiaTheme="minorHAnsi"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4" w15:restartNumberingAfterBreak="0">
    <w:nsid w:val="6F4D2C7F"/>
    <w:multiLevelType w:val="hybridMultilevel"/>
    <w:tmpl w:val="7576A7C0"/>
    <w:lvl w:ilvl="0" w:tplc="04020001">
      <w:start w:val="1"/>
      <w:numFmt w:val="bullet"/>
      <w:lvlText w:val=""/>
      <w:lvlJc w:val="left"/>
      <w:pPr>
        <w:ind w:left="786" w:hanging="360"/>
      </w:pPr>
      <w:rPr>
        <w:rFonts w:ascii="Symbol" w:hAnsi="Symbol" w:hint="default"/>
      </w:rPr>
    </w:lvl>
    <w:lvl w:ilvl="1" w:tplc="04020003" w:tentative="1">
      <w:start w:val="1"/>
      <w:numFmt w:val="bullet"/>
      <w:lvlText w:val="o"/>
      <w:lvlJc w:val="left"/>
      <w:pPr>
        <w:ind w:left="2148" w:hanging="360"/>
      </w:pPr>
      <w:rPr>
        <w:rFonts w:ascii="Courier New" w:hAnsi="Courier New" w:cs="Courier New" w:hint="default"/>
      </w:rPr>
    </w:lvl>
    <w:lvl w:ilvl="2" w:tplc="04020005" w:tentative="1">
      <w:start w:val="1"/>
      <w:numFmt w:val="bullet"/>
      <w:lvlText w:val=""/>
      <w:lvlJc w:val="left"/>
      <w:pPr>
        <w:ind w:left="2868" w:hanging="360"/>
      </w:pPr>
      <w:rPr>
        <w:rFonts w:ascii="Wingdings" w:hAnsi="Wingdings" w:hint="default"/>
      </w:rPr>
    </w:lvl>
    <w:lvl w:ilvl="3" w:tplc="04020001">
      <w:start w:val="1"/>
      <w:numFmt w:val="bullet"/>
      <w:lvlText w:val=""/>
      <w:lvlJc w:val="left"/>
      <w:pPr>
        <w:ind w:left="3588" w:hanging="360"/>
      </w:pPr>
      <w:rPr>
        <w:rFonts w:ascii="Symbol" w:hAnsi="Symbol" w:hint="default"/>
      </w:rPr>
    </w:lvl>
    <w:lvl w:ilvl="4" w:tplc="04020003" w:tentative="1">
      <w:start w:val="1"/>
      <w:numFmt w:val="bullet"/>
      <w:lvlText w:val="o"/>
      <w:lvlJc w:val="left"/>
      <w:pPr>
        <w:ind w:left="4308" w:hanging="360"/>
      </w:pPr>
      <w:rPr>
        <w:rFonts w:ascii="Courier New" w:hAnsi="Courier New" w:cs="Courier New" w:hint="default"/>
      </w:rPr>
    </w:lvl>
    <w:lvl w:ilvl="5" w:tplc="04020005" w:tentative="1">
      <w:start w:val="1"/>
      <w:numFmt w:val="bullet"/>
      <w:lvlText w:val=""/>
      <w:lvlJc w:val="left"/>
      <w:pPr>
        <w:ind w:left="5028" w:hanging="360"/>
      </w:pPr>
      <w:rPr>
        <w:rFonts w:ascii="Wingdings" w:hAnsi="Wingdings" w:hint="default"/>
      </w:rPr>
    </w:lvl>
    <w:lvl w:ilvl="6" w:tplc="04020001" w:tentative="1">
      <w:start w:val="1"/>
      <w:numFmt w:val="bullet"/>
      <w:lvlText w:val=""/>
      <w:lvlJc w:val="left"/>
      <w:pPr>
        <w:ind w:left="5748" w:hanging="360"/>
      </w:pPr>
      <w:rPr>
        <w:rFonts w:ascii="Symbol" w:hAnsi="Symbol" w:hint="default"/>
      </w:rPr>
    </w:lvl>
    <w:lvl w:ilvl="7" w:tplc="04020003" w:tentative="1">
      <w:start w:val="1"/>
      <w:numFmt w:val="bullet"/>
      <w:lvlText w:val="o"/>
      <w:lvlJc w:val="left"/>
      <w:pPr>
        <w:ind w:left="6468" w:hanging="360"/>
      </w:pPr>
      <w:rPr>
        <w:rFonts w:ascii="Courier New" w:hAnsi="Courier New" w:cs="Courier New" w:hint="default"/>
      </w:rPr>
    </w:lvl>
    <w:lvl w:ilvl="8" w:tplc="04020005" w:tentative="1">
      <w:start w:val="1"/>
      <w:numFmt w:val="bullet"/>
      <w:lvlText w:val=""/>
      <w:lvlJc w:val="left"/>
      <w:pPr>
        <w:ind w:left="7188" w:hanging="360"/>
      </w:pPr>
      <w:rPr>
        <w:rFonts w:ascii="Wingdings" w:hAnsi="Wingdings" w:hint="default"/>
      </w:rPr>
    </w:lvl>
  </w:abstractNum>
  <w:num w:numId="1">
    <w:abstractNumId w:val="12"/>
  </w:num>
  <w:num w:numId="2">
    <w:abstractNumId w:val="4"/>
  </w:num>
  <w:num w:numId="3">
    <w:abstractNumId w:val="2"/>
  </w:num>
  <w:num w:numId="4">
    <w:abstractNumId w:val="5"/>
  </w:num>
  <w:num w:numId="5">
    <w:abstractNumId w:val="10"/>
  </w:num>
  <w:num w:numId="6">
    <w:abstractNumId w:val="8"/>
  </w:num>
  <w:num w:numId="7">
    <w:abstractNumId w:val="0"/>
  </w:num>
  <w:num w:numId="8">
    <w:abstractNumId w:val="7"/>
  </w:num>
  <w:num w:numId="9">
    <w:abstractNumId w:val="3"/>
  </w:num>
  <w:num w:numId="10">
    <w:abstractNumId w:val="11"/>
  </w:num>
  <w:num w:numId="11">
    <w:abstractNumId w:val="9"/>
  </w:num>
  <w:num w:numId="12">
    <w:abstractNumId w:val="13"/>
  </w:num>
  <w:num w:numId="13">
    <w:abstractNumId w:val="14"/>
  </w:num>
  <w:num w:numId="14">
    <w:abstractNumId w:val="6"/>
  </w:num>
  <w:num w:numId="1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D4CC6"/>
    <w:rsid w:val="00027B5E"/>
    <w:rsid w:val="0003391C"/>
    <w:rsid w:val="00035D8D"/>
    <w:rsid w:val="000447C5"/>
    <w:rsid w:val="00051A71"/>
    <w:rsid w:val="00060221"/>
    <w:rsid w:val="00061E88"/>
    <w:rsid w:val="0006461A"/>
    <w:rsid w:val="00071421"/>
    <w:rsid w:val="00072BD2"/>
    <w:rsid w:val="00076D11"/>
    <w:rsid w:val="00082AA3"/>
    <w:rsid w:val="000853DB"/>
    <w:rsid w:val="000B6FE3"/>
    <w:rsid w:val="000C7525"/>
    <w:rsid w:val="000F018D"/>
    <w:rsid w:val="000F15EF"/>
    <w:rsid w:val="000F44AD"/>
    <w:rsid w:val="000F5A71"/>
    <w:rsid w:val="0010347D"/>
    <w:rsid w:val="00106E0F"/>
    <w:rsid w:val="00121F59"/>
    <w:rsid w:val="001220BD"/>
    <w:rsid w:val="001369AD"/>
    <w:rsid w:val="001372AB"/>
    <w:rsid w:val="00175ABD"/>
    <w:rsid w:val="001A5608"/>
    <w:rsid w:val="001C7B3B"/>
    <w:rsid w:val="001D7149"/>
    <w:rsid w:val="001E0281"/>
    <w:rsid w:val="001E7F4E"/>
    <w:rsid w:val="002151CA"/>
    <w:rsid w:val="00223070"/>
    <w:rsid w:val="00241B78"/>
    <w:rsid w:val="00254D0E"/>
    <w:rsid w:val="00275EF0"/>
    <w:rsid w:val="00295C8E"/>
    <w:rsid w:val="002A0502"/>
    <w:rsid w:val="002C3E8C"/>
    <w:rsid w:val="002D0F84"/>
    <w:rsid w:val="003053C4"/>
    <w:rsid w:val="00342164"/>
    <w:rsid w:val="003643AD"/>
    <w:rsid w:val="00370DF5"/>
    <w:rsid w:val="00386A53"/>
    <w:rsid w:val="003A2933"/>
    <w:rsid w:val="003B7745"/>
    <w:rsid w:val="003C7622"/>
    <w:rsid w:val="003D06EE"/>
    <w:rsid w:val="003E2AE1"/>
    <w:rsid w:val="003F16C9"/>
    <w:rsid w:val="004031A6"/>
    <w:rsid w:val="004238F3"/>
    <w:rsid w:val="00443BA7"/>
    <w:rsid w:val="00443EE5"/>
    <w:rsid w:val="0044420E"/>
    <w:rsid w:val="00451234"/>
    <w:rsid w:val="0046324D"/>
    <w:rsid w:val="004674EC"/>
    <w:rsid w:val="004733EC"/>
    <w:rsid w:val="004852AE"/>
    <w:rsid w:val="0048579E"/>
    <w:rsid w:val="004A0710"/>
    <w:rsid w:val="004A0FF2"/>
    <w:rsid w:val="004A5370"/>
    <w:rsid w:val="004A7B9B"/>
    <w:rsid w:val="004F08D9"/>
    <w:rsid w:val="004F0E6A"/>
    <w:rsid w:val="004F7F3A"/>
    <w:rsid w:val="005113D4"/>
    <w:rsid w:val="005126AA"/>
    <w:rsid w:val="00513A8A"/>
    <w:rsid w:val="00523C0B"/>
    <w:rsid w:val="00525CE2"/>
    <w:rsid w:val="00526320"/>
    <w:rsid w:val="00530694"/>
    <w:rsid w:val="00533D0F"/>
    <w:rsid w:val="00581863"/>
    <w:rsid w:val="00597277"/>
    <w:rsid w:val="005B7A87"/>
    <w:rsid w:val="005C116E"/>
    <w:rsid w:val="005C29E4"/>
    <w:rsid w:val="005C5051"/>
    <w:rsid w:val="005D280F"/>
    <w:rsid w:val="005D34A9"/>
    <w:rsid w:val="005D54F6"/>
    <w:rsid w:val="005D6AA4"/>
    <w:rsid w:val="005E686B"/>
    <w:rsid w:val="00601E34"/>
    <w:rsid w:val="00620938"/>
    <w:rsid w:val="00636401"/>
    <w:rsid w:val="00640911"/>
    <w:rsid w:val="0064362D"/>
    <w:rsid w:val="006637E6"/>
    <w:rsid w:val="006650CA"/>
    <w:rsid w:val="0066545E"/>
    <w:rsid w:val="0066578E"/>
    <w:rsid w:val="00685782"/>
    <w:rsid w:val="006969C9"/>
    <w:rsid w:val="00696A1F"/>
    <w:rsid w:val="006A0F8D"/>
    <w:rsid w:val="006A694A"/>
    <w:rsid w:val="006B558C"/>
    <w:rsid w:val="006D482B"/>
    <w:rsid w:val="006E6BD9"/>
    <w:rsid w:val="007105A2"/>
    <w:rsid w:val="00723346"/>
    <w:rsid w:val="00726386"/>
    <w:rsid w:val="00730835"/>
    <w:rsid w:val="00765085"/>
    <w:rsid w:val="00780977"/>
    <w:rsid w:val="007831AD"/>
    <w:rsid w:val="00786CDE"/>
    <w:rsid w:val="00790872"/>
    <w:rsid w:val="00793D4D"/>
    <w:rsid w:val="007A5AB1"/>
    <w:rsid w:val="007B0B67"/>
    <w:rsid w:val="007B666B"/>
    <w:rsid w:val="007C4582"/>
    <w:rsid w:val="007F05D6"/>
    <w:rsid w:val="007F2E6B"/>
    <w:rsid w:val="008126B0"/>
    <w:rsid w:val="00824F1A"/>
    <w:rsid w:val="00851CA5"/>
    <w:rsid w:val="008567FF"/>
    <w:rsid w:val="00867509"/>
    <w:rsid w:val="00884D55"/>
    <w:rsid w:val="00893EB0"/>
    <w:rsid w:val="008A6D81"/>
    <w:rsid w:val="008C0F4A"/>
    <w:rsid w:val="008D2858"/>
    <w:rsid w:val="008D52A7"/>
    <w:rsid w:val="008E15A1"/>
    <w:rsid w:val="008E1BF5"/>
    <w:rsid w:val="008E2CCE"/>
    <w:rsid w:val="008E4A1B"/>
    <w:rsid w:val="008E5245"/>
    <w:rsid w:val="008F20E5"/>
    <w:rsid w:val="00900B2D"/>
    <w:rsid w:val="009104C3"/>
    <w:rsid w:val="009114EE"/>
    <w:rsid w:val="009336C2"/>
    <w:rsid w:val="00934CE9"/>
    <w:rsid w:val="00935127"/>
    <w:rsid w:val="00945584"/>
    <w:rsid w:val="00954DB6"/>
    <w:rsid w:val="009A1944"/>
    <w:rsid w:val="009B06DA"/>
    <w:rsid w:val="009C25E6"/>
    <w:rsid w:val="009C799E"/>
    <w:rsid w:val="009D7346"/>
    <w:rsid w:val="009E7462"/>
    <w:rsid w:val="009F19CA"/>
    <w:rsid w:val="00A10CA3"/>
    <w:rsid w:val="00A1519F"/>
    <w:rsid w:val="00A253C8"/>
    <w:rsid w:val="00A30F8C"/>
    <w:rsid w:val="00A5273F"/>
    <w:rsid w:val="00A64DD3"/>
    <w:rsid w:val="00A71C01"/>
    <w:rsid w:val="00A80EBE"/>
    <w:rsid w:val="00A859BF"/>
    <w:rsid w:val="00AA37D2"/>
    <w:rsid w:val="00AB2FDC"/>
    <w:rsid w:val="00AB4DB3"/>
    <w:rsid w:val="00AE2376"/>
    <w:rsid w:val="00AE6BB3"/>
    <w:rsid w:val="00AE78A4"/>
    <w:rsid w:val="00AF3D24"/>
    <w:rsid w:val="00AF4CBC"/>
    <w:rsid w:val="00AF5821"/>
    <w:rsid w:val="00B116AF"/>
    <w:rsid w:val="00B126E7"/>
    <w:rsid w:val="00B134A1"/>
    <w:rsid w:val="00B1465D"/>
    <w:rsid w:val="00B73B9F"/>
    <w:rsid w:val="00B73E95"/>
    <w:rsid w:val="00B75204"/>
    <w:rsid w:val="00B774CA"/>
    <w:rsid w:val="00B808F1"/>
    <w:rsid w:val="00B826DB"/>
    <w:rsid w:val="00B9135B"/>
    <w:rsid w:val="00B9169F"/>
    <w:rsid w:val="00BA6977"/>
    <w:rsid w:val="00BA7A74"/>
    <w:rsid w:val="00BC0731"/>
    <w:rsid w:val="00BC433E"/>
    <w:rsid w:val="00BC6608"/>
    <w:rsid w:val="00BE13BC"/>
    <w:rsid w:val="00C00152"/>
    <w:rsid w:val="00C017EF"/>
    <w:rsid w:val="00C13D9D"/>
    <w:rsid w:val="00C16A6F"/>
    <w:rsid w:val="00C614AA"/>
    <w:rsid w:val="00C64245"/>
    <w:rsid w:val="00C64EF5"/>
    <w:rsid w:val="00C65C06"/>
    <w:rsid w:val="00C731E6"/>
    <w:rsid w:val="00C93C64"/>
    <w:rsid w:val="00CA3CE9"/>
    <w:rsid w:val="00CA3F72"/>
    <w:rsid w:val="00CA6092"/>
    <w:rsid w:val="00CC3351"/>
    <w:rsid w:val="00CC383D"/>
    <w:rsid w:val="00CD09A0"/>
    <w:rsid w:val="00CE0E3B"/>
    <w:rsid w:val="00CF0130"/>
    <w:rsid w:val="00CF60D4"/>
    <w:rsid w:val="00D200A8"/>
    <w:rsid w:val="00D27D92"/>
    <w:rsid w:val="00D32841"/>
    <w:rsid w:val="00D827E1"/>
    <w:rsid w:val="00D851AF"/>
    <w:rsid w:val="00D971FC"/>
    <w:rsid w:val="00DA455F"/>
    <w:rsid w:val="00DC3C6D"/>
    <w:rsid w:val="00E137AF"/>
    <w:rsid w:val="00E152BF"/>
    <w:rsid w:val="00E2506D"/>
    <w:rsid w:val="00E26A99"/>
    <w:rsid w:val="00E27A75"/>
    <w:rsid w:val="00E4012B"/>
    <w:rsid w:val="00E67627"/>
    <w:rsid w:val="00E721AA"/>
    <w:rsid w:val="00E728CF"/>
    <w:rsid w:val="00E8266F"/>
    <w:rsid w:val="00EA31D3"/>
    <w:rsid w:val="00EC556F"/>
    <w:rsid w:val="00ED111B"/>
    <w:rsid w:val="00EE41E0"/>
    <w:rsid w:val="00EE5029"/>
    <w:rsid w:val="00EF0CC5"/>
    <w:rsid w:val="00F0646E"/>
    <w:rsid w:val="00F148B0"/>
    <w:rsid w:val="00F25502"/>
    <w:rsid w:val="00F57683"/>
    <w:rsid w:val="00F578BE"/>
    <w:rsid w:val="00F9659B"/>
    <w:rsid w:val="00FA546F"/>
    <w:rsid w:val="00FB2D9F"/>
    <w:rsid w:val="00FD4CC6"/>
    <w:rsid w:val="00FF5B9E"/>
    <w:rsid w:val="00FF6A19"/>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3EC52D"/>
  <w15:chartTrackingRefBased/>
  <w15:docId w15:val="{2F2E0F6D-C98E-4721-98D7-75796668F1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D4CC6"/>
    <w:rPr>
      <w:rFonts w:ascii="Calibri" w:eastAsia="Times New Roman" w:hAnsi="Calibri" w:cs="Times New Roman"/>
    </w:rPr>
  </w:style>
  <w:style w:type="paragraph" w:styleId="Heading2">
    <w:name w:val="heading 2"/>
    <w:basedOn w:val="Normal"/>
    <w:next w:val="Normal"/>
    <w:link w:val="Heading2Char"/>
    <w:uiPriority w:val="9"/>
    <w:unhideWhenUsed/>
    <w:qFormat/>
    <w:rsid w:val="00685782"/>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Normal List,Endnote,Indent,ПАРАГРАФ,Гл точки,punto elenco,bullet2,Diplomna_Joro,Colorful List Accent 1,List1,Figure,Lettre d'introduction,List Paragraph1,1st level - Bullet List Paragraph,Table of contents numbered"/>
    <w:basedOn w:val="Normal"/>
    <w:link w:val="ListParagraphChar"/>
    <w:uiPriority w:val="34"/>
    <w:qFormat/>
    <w:rsid w:val="00FD4CC6"/>
    <w:pPr>
      <w:ind w:left="720"/>
      <w:contextualSpacing/>
    </w:pPr>
  </w:style>
  <w:style w:type="paragraph" w:styleId="NormalWeb">
    <w:name w:val="Normal (Web)"/>
    <w:basedOn w:val="Normal"/>
    <w:uiPriority w:val="99"/>
    <w:rsid w:val="00FD4CC6"/>
    <w:pPr>
      <w:spacing w:before="100" w:beforeAutospacing="1" w:after="100" w:afterAutospacing="1" w:line="240" w:lineRule="auto"/>
    </w:pPr>
    <w:rPr>
      <w:rFonts w:ascii="Times New Roman" w:hAnsi="Times New Roman"/>
      <w:sz w:val="24"/>
      <w:szCs w:val="24"/>
      <w:lang w:eastAsia="bg-BG"/>
    </w:rPr>
  </w:style>
  <w:style w:type="character" w:styleId="Hyperlink">
    <w:name w:val="Hyperlink"/>
    <w:uiPriority w:val="99"/>
    <w:unhideWhenUsed/>
    <w:rsid w:val="00FD4CC6"/>
    <w:rPr>
      <w:color w:val="0563C1"/>
      <w:u w:val="single"/>
    </w:rPr>
  </w:style>
  <w:style w:type="character" w:customStyle="1" w:styleId="ListParagraphChar">
    <w:name w:val="List Paragraph Char"/>
    <w:aliases w:val="Normal List Char,Endnote Char,Indent Char,ПАРАГРАФ Char,Гл точки Char,punto elenco Char,bullet2 Char,Diplomna_Joro Char,Colorful List Accent 1 Char,List1 Char,Figure Char,Lettre d'introduction Char,List Paragraph1 Char"/>
    <w:link w:val="ListParagraph"/>
    <w:uiPriority w:val="34"/>
    <w:qFormat/>
    <w:locked/>
    <w:rsid w:val="00FD4CC6"/>
    <w:rPr>
      <w:rFonts w:ascii="Calibri" w:eastAsia="Times New Roman" w:hAnsi="Calibri" w:cs="Times New Roman"/>
    </w:rPr>
  </w:style>
  <w:style w:type="paragraph" w:styleId="Header">
    <w:name w:val="header"/>
    <w:basedOn w:val="Normal"/>
    <w:link w:val="HeaderChar"/>
    <w:uiPriority w:val="99"/>
    <w:unhideWhenUsed/>
    <w:rsid w:val="00FD4CC6"/>
    <w:pPr>
      <w:tabs>
        <w:tab w:val="center" w:pos="4536"/>
        <w:tab w:val="right" w:pos="9072"/>
      </w:tabs>
      <w:spacing w:after="0" w:line="240" w:lineRule="auto"/>
    </w:pPr>
  </w:style>
  <w:style w:type="character" w:customStyle="1" w:styleId="HeaderChar">
    <w:name w:val="Header Char"/>
    <w:basedOn w:val="DefaultParagraphFont"/>
    <w:link w:val="Header"/>
    <w:uiPriority w:val="99"/>
    <w:rsid w:val="00FD4CC6"/>
    <w:rPr>
      <w:rFonts w:ascii="Calibri" w:eastAsia="Times New Roman" w:hAnsi="Calibri" w:cs="Times New Roman"/>
    </w:rPr>
  </w:style>
  <w:style w:type="paragraph" w:styleId="Footer">
    <w:name w:val="footer"/>
    <w:basedOn w:val="Normal"/>
    <w:link w:val="FooterChar"/>
    <w:uiPriority w:val="99"/>
    <w:unhideWhenUsed/>
    <w:rsid w:val="00FD4CC6"/>
    <w:pPr>
      <w:tabs>
        <w:tab w:val="center" w:pos="4536"/>
        <w:tab w:val="right" w:pos="9072"/>
      </w:tabs>
      <w:spacing w:after="0" w:line="240" w:lineRule="auto"/>
    </w:pPr>
  </w:style>
  <w:style w:type="character" w:customStyle="1" w:styleId="FooterChar">
    <w:name w:val="Footer Char"/>
    <w:basedOn w:val="DefaultParagraphFont"/>
    <w:link w:val="Footer"/>
    <w:uiPriority w:val="99"/>
    <w:rsid w:val="00FD4CC6"/>
    <w:rPr>
      <w:rFonts w:ascii="Calibri" w:eastAsia="Times New Roman" w:hAnsi="Calibri" w:cs="Times New Roman"/>
    </w:rPr>
  </w:style>
  <w:style w:type="paragraph" w:customStyle="1" w:styleId="Default">
    <w:name w:val="Default"/>
    <w:link w:val="DefaultChar"/>
    <w:rsid w:val="00E152BF"/>
    <w:pPr>
      <w:autoSpaceDE w:val="0"/>
      <w:autoSpaceDN w:val="0"/>
      <w:adjustRightInd w:val="0"/>
      <w:spacing w:after="0" w:line="240" w:lineRule="auto"/>
    </w:pPr>
    <w:rPr>
      <w:rFonts w:ascii="Times New Roman" w:eastAsia="Times New Roman" w:hAnsi="Times New Roman" w:cs="Times New Roman"/>
      <w:color w:val="000000"/>
      <w:sz w:val="24"/>
      <w:szCs w:val="24"/>
      <w:lang w:eastAsia="bg-BG"/>
    </w:rPr>
  </w:style>
  <w:style w:type="character" w:customStyle="1" w:styleId="DefaultChar">
    <w:name w:val="Default Char"/>
    <w:link w:val="Default"/>
    <w:uiPriority w:val="99"/>
    <w:rsid w:val="00E152BF"/>
    <w:rPr>
      <w:rFonts w:ascii="Times New Roman" w:eastAsia="Times New Roman" w:hAnsi="Times New Roman" w:cs="Times New Roman"/>
      <w:color w:val="000000"/>
      <w:sz w:val="24"/>
      <w:szCs w:val="24"/>
      <w:lang w:eastAsia="bg-BG"/>
    </w:rPr>
  </w:style>
  <w:style w:type="character" w:styleId="CommentReference">
    <w:name w:val="annotation reference"/>
    <w:basedOn w:val="DefaultParagraphFont"/>
    <w:uiPriority w:val="99"/>
    <w:semiHidden/>
    <w:unhideWhenUsed/>
    <w:rsid w:val="00E152BF"/>
    <w:rPr>
      <w:sz w:val="16"/>
      <w:szCs w:val="16"/>
    </w:rPr>
  </w:style>
  <w:style w:type="paragraph" w:styleId="CommentText">
    <w:name w:val="annotation text"/>
    <w:basedOn w:val="Normal"/>
    <w:link w:val="CommentTextChar"/>
    <w:uiPriority w:val="99"/>
    <w:unhideWhenUsed/>
    <w:rsid w:val="00E152BF"/>
    <w:pPr>
      <w:spacing w:line="240" w:lineRule="auto"/>
    </w:pPr>
    <w:rPr>
      <w:rFonts w:asciiTheme="minorHAnsi" w:eastAsiaTheme="minorHAnsi" w:hAnsiTheme="minorHAnsi" w:cstheme="minorBidi"/>
      <w:sz w:val="20"/>
      <w:szCs w:val="20"/>
    </w:rPr>
  </w:style>
  <w:style w:type="character" w:customStyle="1" w:styleId="CommentTextChar">
    <w:name w:val="Comment Text Char"/>
    <w:basedOn w:val="DefaultParagraphFont"/>
    <w:link w:val="CommentText"/>
    <w:uiPriority w:val="99"/>
    <w:rsid w:val="00E152BF"/>
    <w:rPr>
      <w:sz w:val="20"/>
      <w:szCs w:val="20"/>
    </w:rPr>
  </w:style>
  <w:style w:type="paragraph" w:styleId="BalloonText">
    <w:name w:val="Balloon Text"/>
    <w:basedOn w:val="Normal"/>
    <w:link w:val="BalloonTextChar"/>
    <w:uiPriority w:val="99"/>
    <w:semiHidden/>
    <w:unhideWhenUsed/>
    <w:rsid w:val="00E152B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152BF"/>
    <w:rPr>
      <w:rFonts w:ascii="Segoe UI" w:eastAsia="Times New Roman" w:hAnsi="Segoe UI" w:cs="Segoe UI"/>
      <w:sz w:val="18"/>
      <w:szCs w:val="18"/>
    </w:r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
    <w:basedOn w:val="Normal"/>
    <w:link w:val="FootnoteTextChar"/>
    <w:uiPriority w:val="99"/>
    <w:unhideWhenUsed/>
    <w:qFormat/>
    <w:rsid w:val="00E152BF"/>
    <w:pPr>
      <w:spacing w:after="0" w:line="240" w:lineRule="auto"/>
    </w:pPr>
    <w:rPr>
      <w:rFonts w:asciiTheme="minorHAnsi" w:eastAsiaTheme="minorHAnsi" w:hAnsiTheme="minorHAnsi" w:cstheme="minorBidi"/>
      <w:sz w:val="20"/>
      <w:szCs w:val="20"/>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basedOn w:val="DefaultParagraphFont"/>
    <w:link w:val="FootnoteText"/>
    <w:uiPriority w:val="99"/>
    <w:qFormat/>
    <w:rsid w:val="00E152BF"/>
    <w:rPr>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ussnot"/>
    <w:basedOn w:val="DefaultParagraphFont"/>
    <w:link w:val="CharCharCharCharCarChar"/>
    <w:unhideWhenUsed/>
    <w:qFormat/>
    <w:rsid w:val="00E152BF"/>
    <w:rPr>
      <w:vertAlign w:val="superscript"/>
    </w:rPr>
  </w:style>
  <w:style w:type="paragraph" w:customStyle="1" w:styleId="CharCharCharCharCarChar">
    <w:name w:val="Char Char Char Char Car Char"/>
    <w:aliases w:val="Char Char,Char Char Char Char Car Char Char1,Char Char Char1,16 Point Char1,Superscript 6 Point Char1,ftref Char1,Char Char Char1 Char Char Char"/>
    <w:basedOn w:val="Normal"/>
    <w:next w:val="Normal"/>
    <w:link w:val="FootnoteReference"/>
    <w:rsid w:val="00C017EF"/>
    <w:pPr>
      <w:spacing w:line="240" w:lineRule="exact"/>
    </w:pPr>
    <w:rPr>
      <w:rFonts w:asciiTheme="minorHAnsi" w:eastAsiaTheme="minorHAnsi" w:hAnsiTheme="minorHAnsi" w:cstheme="minorBidi"/>
      <w:vertAlign w:val="superscript"/>
    </w:rPr>
  </w:style>
  <w:style w:type="paragraph" w:styleId="CommentSubject">
    <w:name w:val="annotation subject"/>
    <w:basedOn w:val="CommentText"/>
    <w:next w:val="CommentText"/>
    <w:link w:val="CommentSubjectChar"/>
    <w:uiPriority w:val="99"/>
    <w:semiHidden/>
    <w:unhideWhenUsed/>
    <w:rsid w:val="00295C8E"/>
    <w:rPr>
      <w:rFonts w:ascii="Calibri" w:eastAsia="Times New Roman" w:hAnsi="Calibri" w:cs="Times New Roman"/>
      <w:b/>
      <w:bCs/>
    </w:rPr>
  </w:style>
  <w:style w:type="character" w:customStyle="1" w:styleId="CommentSubjectChar">
    <w:name w:val="Comment Subject Char"/>
    <w:basedOn w:val="CommentTextChar"/>
    <w:link w:val="CommentSubject"/>
    <w:uiPriority w:val="99"/>
    <w:semiHidden/>
    <w:rsid w:val="00295C8E"/>
    <w:rPr>
      <w:rFonts w:ascii="Calibri" w:eastAsia="Times New Roman" w:hAnsi="Calibri" w:cs="Times New Roman"/>
      <w:b/>
      <w:bCs/>
      <w:sz w:val="20"/>
      <w:szCs w:val="20"/>
    </w:rPr>
  </w:style>
  <w:style w:type="character" w:customStyle="1" w:styleId="Heading2Char">
    <w:name w:val="Heading 2 Char"/>
    <w:basedOn w:val="DefaultParagraphFont"/>
    <w:link w:val="Heading2"/>
    <w:uiPriority w:val="9"/>
    <w:rsid w:val="00685782"/>
    <w:rPr>
      <w:rFonts w:asciiTheme="majorHAnsi" w:eastAsiaTheme="majorEastAsia" w:hAnsiTheme="majorHAnsi" w:cstheme="majorBidi"/>
      <w:color w:val="2E74B5" w:themeColor="accent1" w:themeShade="BF"/>
      <w:sz w:val="26"/>
      <w:szCs w:val="26"/>
    </w:rPr>
  </w:style>
  <w:style w:type="table" w:styleId="ListTable6Colorful">
    <w:name w:val="List Table 6 Colorful"/>
    <w:basedOn w:val="TableNormal"/>
    <w:uiPriority w:val="51"/>
    <w:rsid w:val="009114EE"/>
    <w:pPr>
      <w:spacing w:after="0" w:line="240" w:lineRule="auto"/>
    </w:pPr>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leGrid">
    <w:name w:val="Table Grid"/>
    <w:basedOn w:val="TableNormal"/>
    <w:uiPriority w:val="39"/>
    <w:rsid w:val="00B826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7Colorful">
    <w:name w:val="Grid Table 7 Colorful"/>
    <w:basedOn w:val="TableNormal"/>
    <w:uiPriority w:val="52"/>
    <w:rsid w:val="00B826DB"/>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ridTable6Colorful">
    <w:name w:val="Grid Table 6 Colorful"/>
    <w:basedOn w:val="TableNormal"/>
    <w:uiPriority w:val="51"/>
    <w:rsid w:val="00B826DB"/>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Revision">
    <w:name w:val="Revision"/>
    <w:hidden/>
    <w:uiPriority w:val="99"/>
    <w:semiHidden/>
    <w:rsid w:val="000C7525"/>
    <w:pPr>
      <w:spacing w:after="0" w:line="240" w:lineRule="auto"/>
    </w:pPr>
    <w:rPr>
      <w:rFonts w:ascii="Calibri" w:eastAsia="Times New Roman"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4980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0AAA92-7CE4-47CD-92D0-59E29B8F1C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TotalTime>
  <Pages>15</Pages>
  <Words>6050</Words>
  <Characters>34488</Characters>
  <Application>Microsoft Office Word</Application>
  <DocSecurity>0</DocSecurity>
  <Lines>287</Lines>
  <Paragraphs>80</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MTITC</Company>
  <LinksUpToDate>false</LinksUpToDate>
  <CharactersWithSpaces>40458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Daniela Kalaydzhiyska-Ivanova</dc:creator>
  <cp:keywords/>
  <dc:description/>
  <cp:lastModifiedBy>Daniela Kalaydzhiyska-Ivanova</cp:lastModifiedBy>
  <cp:revision>9</cp:revision>
  <dcterms:created xsi:type="dcterms:W3CDTF">2025-11-06T13:56:00Z</dcterms:created>
  <dcterms:modified xsi:type="dcterms:W3CDTF">2025-11-24T10:18:00Z</dcterms:modified>
</cp:coreProperties>
</file>